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BAC0" w14:textId="77777777" w:rsidR="00F25744" w:rsidRPr="001A0C51" w:rsidRDefault="00F25744" w:rsidP="00F04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69E61AE3" w14:textId="77777777" w:rsidR="00F25744" w:rsidRPr="001A0C51" w:rsidRDefault="00F25744" w:rsidP="00F25744">
      <w:pPr>
        <w:snapToGrid w:val="0"/>
        <w:contextualSpacing/>
      </w:pPr>
    </w:p>
    <w:p w14:paraId="334AC249" w14:textId="5BA0BA57" w:rsidR="00F25744" w:rsidRPr="00982D00" w:rsidRDefault="00F25744" w:rsidP="00F25744">
      <w:pPr>
        <w:snapToGrid w:val="0"/>
        <w:contextualSpacing/>
        <w:rPr>
          <w:sz w:val="20"/>
          <w:szCs w:val="20"/>
        </w:rPr>
      </w:pPr>
      <w:r w:rsidRPr="00982D00">
        <w:rPr>
          <w:sz w:val="20"/>
          <w:szCs w:val="20"/>
        </w:rPr>
        <w:t>FOR IMMEDIATE RELEASE</w:t>
      </w:r>
      <w:r w:rsidR="00982D00">
        <w:rPr>
          <w:sz w:val="20"/>
          <w:szCs w:val="20"/>
        </w:rPr>
        <w:t xml:space="preserve"> </w:t>
      </w:r>
      <w:r w:rsidR="00982D00">
        <w:rPr>
          <w:sz w:val="20"/>
          <w:szCs w:val="20"/>
        </w:rPr>
        <w:br/>
      </w:r>
      <w:r w:rsidR="003E73CD">
        <w:rPr>
          <w:sz w:val="20"/>
          <w:szCs w:val="20"/>
        </w:rPr>
        <w:t>October 14, 2022</w:t>
      </w:r>
    </w:p>
    <w:p w14:paraId="560C2D6E" w14:textId="0514E70E" w:rsidR="00F25744" w:rsidRPr="00982D00" w:rsidRDefault="00F25744" w:rsidP="00F25744">
      <w:pPr>
        <w:snapToGrid w:val="0"/>
        <w:contextualSpacing/>
        <w:rPr>
          <w:sz w:val="20"/>
          <w:szCs w:val="20"/>
          <w:u w:val="single"/>
        </w:rPr>
      </w:pPr>
      <w:r w:rsidRPr="00982D00">
        <w:rPr>
          <w:sz w:val="20"/>
          <w:szCs w:val="20"/>
        </w:rPr>
        <w:t xml:space="preserve">For more information, contact Kim Case at 908.875.7167(c), or </w:t>
      </w:r>
      <w:hyperlink r:id="rId6" w:history="1">
        <w:r w:rsidRPr="00982D00">
          <w:rPr>
            <w:rStyle w:val="Hyperlink"/>
            <w:sz w:val="20"/>
            <w:szCs w:val="20"/>
          </w:rPr>
          <w:t>kcase@rdnj.org</w:t>
        </w:r>
      </w:hyperlink>
      <w:r w:rsidRPr="00982D00">
        <w:rPr>
          <w:sz w:val="20"/>
          <w:szCs w:val="20"/>
          <w:u w:val="single"/>
        </w:rPr>
        <w:t>.</w:t>
      </w:r>
    </w:p>
    <w:p w14:paraId="506E935A" w14:textId="3D17B30B" w:rsidR="00F25744" w:rsidRPr="001A0C51" w:rsidRDefault="00F25744" w:rsidP="00F25744">
      <w:pPr>
        <w:snapToGrid w:val="0"/>
        <w:contextualSpacing/>
        <w:rPr>
          <w:u w:val="single"/>
        </w:rPr>
      </w:pPr>
    </w:p>
    <w:p w14:paraId="513C948C" w14:textId="43F8D70A" w:rsidR="00F25744" w:rsidRPr="00982D00" w:rsidRDefault="001A0C51" w:rsidP="001B69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982D00">
        <w:rPr>
          <w:rStyle w:val="normaltextrun"/>
          <w:b/>
          <w:bCs/>
          <w:sz w:val="32"/>
          <w:szCs w:val="32"/>
        </w:rPr>
        <w:t xml:space="preserve">Research &amp; Development Council of New Jersey </w:t>
      </w:r>
      <w:r w:rsidR="000A26F2">
        <w:rPr>
          <w:rStyle w:val="normaltextrun"/>
          <w:b/>
          <w:bCs/>
          <w:sz w:val="32"/>
          <w:szCs w:val="32"/>
        </w:rPr>
        <w:t xml:space="preserve">to </w:t>
      </w:r>
      <w:r w:rsidR="00982D00">
        <w:rPr>
          <w:rStyle w:val="normaltextrun"/>
          <w:b/>
          <w:bCs/>
          <w:sz w:val="32"/>
          <w:szCs w:val="32"/>
        </w:rPr>
        <w:t xml:space="preserve">Honor State’s Innovators, Patent Holders </w:t>
      </w:r>
      <w:r w:rsidR="000A26F2">
        <w:rPr>
          <w:rStyle w:val="normaltextrun"/>
          <w:b/>
          <w:bCs/>
          <w:sz w:val="32"/>
          <w:szCs w:val="32"/>
        </w:rPr>
        <w:t>at</w:t>
      </w:r>
      <w:r w:rsidR="00982D00">
        <w:rPr>
          <w:rStyle w:val="normaltextrun"/>
          <w:b/>
          <w:bCs/>
          <w:sz w:val="32"/>
          <w:szCs w:val="32"/>
        </w:rPr>
        <w:t xml:space="preserve"> 43</w:t>
      </w:r>
      <w:r w:rsidR="00982D00" w:rsidRPr="00982D00">
        <w:rPr>
          <w:rStyle w:val="normaltextrun"/>
          <w:b/>
          <w:bCs/>
          <w:sz w:val="32"/>
          <w:szCs w:val="32"/>
          <w:vertAlign w:val="superscript"/>
        </w:rPr>
        <w:t>rd</w:t>
      </w:r>
      <w:r w:rsidR="00982D00">
        <w:rPr>
          <w:rStyle w:val="normaltextrun"/>
          <w:b/>
          <w:bCs/>
          <w:sz w:val="32"/>
          <w:szCs w:val="32"/>
        </w:rPr>
        <w:t xml:space="preserve"> Annual Edison Patent Awards</w:t>
      </w:r>
    </w:p>
    <w:p w14:paraId="6578768F" w14:textId="77777777" w:rsidR="001A0C51" w:rsidRPr="00982D00" w:rsidRDefault="001A0C51" w:rsidP="001A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1F6F00A8" w14:textId="39A8848B" w:rsidR="001A0C51" w:rsidRPr="00982D00" w:rsidRDefault="00F520AE" w:rsidP="001A0C51">
      <w:pPr>
        <w:snapToGrid w:val="0"/>
        <w:spacing w:after="200"/>
        <w:contextualSpacing/>
        <w:jc w:val="center"/>
        <w:rPr>
          <w:rFonts w:eastAsia="Cambria"/>
          <w:i/>
          <w:iCs/>
        </w:rPr>
      </w:pPr>
      <w:r w:rsidRPr="00982D00">
        <w:rPr>
          <w:rFonts w:eastAsia="Cambria"/>
          <w:i/>
          <w:iCs/>
        </w:rPr>
        <w:t xml:space="preserve">Princeton Professor and Nobel Prize Winner </w:t>
      </w:r>
      <w:r w:rsidRPr="001A0C51">
        <w:rPr>
          <w:rFonts w:eastAsia="Cambria"/>
          <w:i/>
          <w:iCs/>
        </w:rPr>
        <w:t>David W.C. MacMillan</w:t>
      </w:r>
      <w:r w:rsidR="003338A9" w:rsidRPr="00982D00">
        <w:rPr>
          <w:rFonts w:eastAsia="Cambria"/>
          <w:i/>
          <w:iCs/>
        </w:rPr>
        <w:t>,</w:t>
      </w:r>
      <w:r w:rsidRPr="00982D00">
        <w:rPr>
          <w:rFonts w:eastAsia="Cambria"/>
          <w:i/>
          <w:iCs/>
        </w:rPr>
        <w:t xml:space="preserve"> </w:t>
      </w:r>
      <w:r w:rsidR="001A0C51" w:rsidRPr="00982D00">
        <w:rPr>
          <w:rFonts w:eastAsia="Cambria"/>
          <w:i/>
          <w:iCs/>
        </w:rPr>
        <w:t xml:space="preserve">Health Commissioner </w:t>
      </w:r>
      <w:r w:rsidR="001A0C51" w:rsidRPr="001A0C51">
        <w:rPr>
          <w:rFonts w:eastAsia="Cambria"/>
          <w:i/>
          <w:iCs/>
        </w:rPr>
        <w:t>Judith M. Persichilli</w:t>
      </w:r>
      <w:r w:rsidR="001A0C51" w:rsidRPr="00982D00">
        <w:rPr>
          <w:rFonts w:eastAsia="Cambria"/>
          <w:i/>
          <w:iCs/>
        </w:rPr>
        <w:t xml:space="preserve">, </w:t>
      </w:r>
      <w:r w:rsidRPr="00982D00">
        <w:rPr>
          <w:rFonts w:eastAsia="Cambria"/>
          <w:i/>
          <w:iCs/>
        </w:rPr>
        <w:t xml:space="preserve">and </w:t>
      </w:r>
      <w:r w:rsidR="001A0C51" w:rsidRPr="00982D00">
        <w:rPr>
          <w:rFonts w:eastAsia="Cambria"/>
          <w:i/>
          <w:iCs/>
        </w:rPr>
        <w:t>Senate Majority Leader Teresa Ruiz</w:t>
      </w:r>
      <w:r w:rsidRPr="00982D00">
        <w:rPr>
          <w:rFonts w:eastAsia="Cambria"/>
          <w:i/>
          <w:iCs/>
        </w:rPr>
        <w:t xml:space="preserve"> to </w:t>
      </w:r>
      <w:r w:rsidR="001A0C51" w:rsidRPr="00982D00">
        <w:rPr>
          <w:rFonts w:eastAsia="Cambria"/>
          <w:i/>
          <w:iCs/>
        </w:rPr>
        <w:t>Receive Individual Honors during November 3</w:t>
      </w:r>
      <w:r w:rsidR="001A0C51" w:rsidRPr="00982D00">
        <w:rPr>
          <w:rFonts w:eastAsia="Cambria"/>
          <w:i/>
          <w:iCs/>
          <w:vertAlign w:val="superscript"/>
        </w:rPr>
        <w:t>rd</w:t>
      </w:r>
      <w:r w:rsidR="001A0C51" w:rsidRPr="00982D00">
        <w:rPr>
          <w:rFonts w:eastAsia="Cambria"/>
          <w:i/>
          <w:iCs/>
        </w:rPr>
        <w:t xml:space="preserve"> Ceremony</w:t>
      </w:r>
    </w:p>
    <w:p w14:paraId="31F566E4" w14:textId="2E79137E" w:rsidR="001A0C51" w:rsidRPr="001A0C51" w:rsidRDefault="001A0C51" w:rsidP="001A0C51">
      <w:pPr>
        <w:snapToGrid w:val="0"/>
        <w:spacing w:after="200"/>
        <w:contextualSpacing/>
        <w:jc w:val="center"/>
        <w:rPr>
          <w:rFonts w:eastAsia="Cambria"/>
          <w:i/>
          <w:iCs/>
          <w:sz w:val="28"/>
          <w:szCs w:val="28"/>
        </w:rPr>
      </w:pPr>
    </w:p>
    <w:p w14:paraId="75ED9A5E" w14:textId="2DC0DF47" w:rsidR="001A0C51" w:rsidRDefault="001A0C51" w:rsidP="001A0C51">
      <w:pPr>
        <w:snapToGrid w:val="0"/>
        <w:spacing w:after="200"/>
        <w:contextualSpacing/>
        <w:rPr>
          <w:rFonts w:eastAsia="Cambria"/>
          <w:sz w:val="20"/>
          <w:szCs w:val="20"/>
        </w:rPr>
      </w:pPr>
      <w:r w:rsidRPr="001A0C51">
        <w:rPr>
          <w:rFonts w:eastAsia="Cambria"/>
          <w:sz w:val="20"/>
          <w:szCs w:val="20"/>
        </w:rPr>
        <w:t xml:space="preserve">Chatham, N.J. </w:t>
      </w:r>
      <w:r w:rsidR="001B6958">
        <w:rPr>
          <w:rFonts w:eastAsia="Cambria"/>
          <w:sz w:val="20"/>
          <w:szCs w:val="20"/>
        </w:rPr>
        <w:t>–</w:t>
      </w:r>
      <w:r w:rsidRPr="001A0C51">
        <w:rPr>
          <w:rFonts w:eastAsia="Cambria"/>
          <w:sz w:val="20"/>
          <w:szCs w:val="20"/>
        </w:rPr>
        <w:t xml:space="preserve"> </w:t>
      </w:r>
      <w:r w:rsidR="001B6958">
        <w:rPr>
          <w:rFonts w:eastAsia="Cambria"/>
          <w:sz w:val="20"/>
          <w:szCs w:val="20"/>
        </w:rPr>
        <w:t>The Research &amp; Development Council of New Jersey (</w:t>
      </w:r>
      <w:r w:rsidR="008F37E2">
        <w:rPr>
          <w:rFonts w:eastAsia="Cambria"/>
          <w:sz w:val="20"/>
          <w:szCs w:val="20"/>
        </w:rPr>
        <w:t xml:space="preserve">R&amp;D </w:t>
      </w:r>
      <w:r w:rsidR="001B6958">
        <w:rPr>
          <w:rFonts w:eastAsia="Cambria"/>
          <w:sz w:val="20"/>
          <w:szCs w:val="20"/>
        </w:rPr>
        <w:t xml:space="preserve">Council) announced today the honorees and winners of the 2022 Edison Patent Awards, the state’s highest recognition for inventors and innovators. These 14 winning patents created by 54 inventors and </w:t>
      </w:r>
      <w:r w:rsidR="00F520AE">
        <w:rPr>
          <w:rFonts w:eastAsia="Cambria"/>
          <w:sz w:val="20"/>
          <w:szCs w:val="20"/>
        </w:rPr>
        <w:t xml:space="preserve">the </w:t>
      </w:r>
      <w:r w:rsidR="001B6958">
        <w:rPr>
          <w:rFonts w:eastAsia="Cambria"/>
          <w:sz w:val="20"/>
          <w:szCs w:val="20"/>
        </w:rPr>
        <w:t xml:space="preserve">three individual award winners will be honored during the </w:t>
      </w:r>
      <w:r w:rsidR="00E20B10">
        <w:rPr>
          <w:rFonts w:eastAsia="Cambria"/>
          <w:sz w:val="20"/>
          <w:szCs w:val="20"/>
        </w:rPr>
        <w:t>43</w:t>
      </w:r>
      <w:r w:rsidR="00E20B10" w:rsidRPr="00E20B10">
        <w:rPr>
          <w:rFonts w:eastAsia="Cambria"/>
          <w:sz w:val="20"/>
          <w:szCs w:val="20"/>
          <w:vertAlign w:val="superscript"/>
        </w:rPr>
        <w:t>rd</w:t>
      </w:r>
      <w:r w:rsidR="00E20B10">
        <w:rPr>
          <w:rFonts w:eastAsia="Cambria"/>
          <w:sz w:val="20"/>
          <w:szCs w:val="20"/>
        </w:rPr>
        <w:t xml:space="preserve"> </w:t>
      </w:r>
      <w:r w:rsidR="001B6958">
        <w:rPr>
          <w:rFonts w:eastAsia="Cambria"/>
          <w:sz w:val="20"/>
          <w:szCs w:val="20"/>
        </w:rPr>
        <w:t xml:space="preserve">annual Edison Patent Award Ceremony and Reception on November </w:t>
      </w:r>
      <w:r w:rsidR="00E20B10">
        <w:rPr>
          <w:rFonts w:eastAsia="Cambria"/>
          <w:sz w:val="20"/>
          <w:szCs w:val="20"/>
        </w:rPr>
        <w:t>3,</w:t>
      </w:r>
      <w:r w:rsidR="00E20B10">
        <w:rPr>
          <w:rFonts w:eastAsia="Cambria"/>
          <w:sz w:val="20"/>
          <w:szCs w:val="20"/>
          <w:vertAlign w:val="superscript"/>
        </w:rPr>
        <w:t xml:space="preserve"> </w:t>
      </w:r>
      <w:r w:rsidR="00E20B10">
        <w:rPr>
          <w:rFonts w:eastAsia="Cambria"/>
          <w:sz w:val="20"/>
          <w:szCs w:val="20"/>
        </w:rPr>
        <w:t>2022</w:t>
      </w:r>
      <w:r w:rsidR="001B6958">
        <w:rPr>
          <w:rFonts w:eastAsia="Cambria"/>
          <w:sz w:val="20"/>
          <w:szCs w:val="20"/>
        </w:rPr>
        <w:t xml:space="preserve"> at Liberty Science Center in Jersey City, N.J. </w:t>
      </w:r>
    </w:p>
    <w:p w14:paraId="553137D9" w14:textId="5C3861FD" w:rsidR="00F520AE" w:rsidRDefault="00F520AE" w:rsidP="001A0C51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7A13FECC" w14:textId="2CC31E07" w:rsidR="00F520AE" w:rsidRDefault="00F520AE" w:rsidP="001A0C51">
      <w:pPr>
        <w:snapToGrid w:val="0"/>
        <w:spacing w:after="200"/>
        <w:contextualSpacing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The </w:t>
      </w:r>
      <w:r w:rsidR="008F37E2">
        <w:rPr>
          <w:rFonts w:eastAsia="Cambria"/>
          <w:sz w:val="20"/>
          <w:szCs w:val="20"/>
        </w:rPr>
        <w:t xml:space="preserve">R&amp;D </w:t>
      </w:r>
      <w:r>
        <w:rPr>
          <w:rFonts w:eastAsia="Cambria"/>
          <w:sz w:val="20"/>
          <w:szCs w:val="20"/>
        </w:rPr>
        <w:t xml:space="preserve">Council will honor </w:t>
      </w:r>
      <w:r w:rsidRPr="00F520AE">
        <w:rPr>
          <w:rFonts w:eastAsia="Cambria"/>
          <w:sz w:val="20"/>
          <w:szCs w:val="20"/>
        </w:rPr>
        <w:t xml:space="preserve">Princeton </w:t>
      </w:r>
      <w:r w:rsidR="000A26F2">
        <w:rPr>
          <w:rFonts w:eastAsia="Cambria"/>
          <w:sz w:val="20"/>
          <w:szCs w:val="20"/>
        </w:rPr>
        <w:t>Chemist</w:t>
      </w:r>
      <w:r w:rsidRPr="00F520AE">
        <w:rPr>
          <w:rFonts w:eastAsia="Cambria"/>
          <w:sz w:val="20"/>
          <w:szCs w:val="20"/>
        </w:rPr>
        <w:t xml:space="preserve"> and Nobel Prize Winner </w:t>
      </w:r>
      <w:r w:rsidRPr="001A0C51">
        <w:rPr>
          <w:rFonts w:eastAsia="Cambria"/>
          <w:sz w:val="20"/>
          <w:szCs w:val="20"/>
        </w:rPr>
        <w:t>David W.C. MacMillan</w:t>
      </w:r>
      <w:r w:rsidR="00E20B10">
        <w:rPr>
          <w:rFonts w:eastAsia="Cambria"/>
          <w:sz w:val="20"/>
          <w:szCs w:val="20"/>
        </w:rPr>
        <w:t>, Ph.D.</w:t>
      </w:r>
      <w:r>
        <w:rPr>
          <w:rFonts w:eastAsia="Cambria"/>
          <w:sz w:val="20"/>
          <w:szCs w:val="20"/>
        </w:rPr>
        <w:t xml:space="preserve"> with its highest honor: the Science and Technology Medal</w:t>
      </w:r>
      <w:r w:rsidR="009A0AB2">
        <w:rPr>
          <w:rFonts w:eastAsia="Cambria"/>
          <w:sz w:val="20"/>
          <w:szCs w:val="20"/>
        </w:rPr>
        <w:t>;</w:t>
      </w:r>
      <w:r>
        <w:rPr>
          <w:rFonts w:eastAsia="Cambria"/>
          <w:sz w:val="20"/>
          <w:szCs w:val="20"/>
        </w:rPr>
        <w:t xml:space="preserve"> New Jersey</w:t>
      </w:r>
      <w:r w:rsidRPr="00F520AE">
        <w:rPr>
          <w:rFonts w:eastAsia="Cambria"/>
          <w:sz w:val="20"/>
          <w:szCs w:val="20"/>
        </w:rPr>
        <w:t xml:space="preserve"> Health Commissioner </w:t>
      </w:r>
      <w:r w:rsidRPr="001A0C51">
        <w:rPr>
          <w:rFonts w:eastAsia="Cambria"/>
          <w:sz w:val="20"/>
          <w:szCs w:val="20"/>
        </w:rPr>
        <w:t>Judith M. Persichilli</w:t>
      </w:r>
      <w:r>
        <w:rPr>
          <w:rFonts w:eastAsia="Cambria"/>
          <w:sz w:val="20"/>
          <w:szCs w:val="20"/>
        </w:rPr>
        <w:t xml:space="preserve"> will receive the Chairman’s Award</w:t>
      </w:r>
      <w:r w:rsidR="009A0AB2">
        <w:rPr>
          <w:rFonts w:eastAsia="Cambria"/>
          <w:sz w:val="20"/>
          <w:szCs w:val="20"/>
        </w:rPr>
        <w:t>;</w:t>
      </w:r>
      <w:r>
        <w:rPr>
          <w:rFonts w:eastAsia="Cambria"/>
          <w:sz w:val="20"/>
          <w:szCs w:val="20"/>
        </w:rPr>
        <w:t xml:space="preserve"> </w:t>
      </w:r>
      <w:r w:rsidR="00E20B10">
        <w:rPr>
          <w:rFonts w:eastAsia="Cambria"/>
          <w:sz w:val="20"/>
          <w:szCs w:val="20"/>
        </w:rPr>
        <w:t xml:space="preserve">New Jersey </w:t>
      </w:r>
      <w:r w:rsidRPr="00F520AE">
        <w:rPr>
          <w:rFonts w:eastAsia="Cambria"/>
          <w:sz w:val="20"/>
          <w:szCs w:val="20"/>
        </w:rPr>
        <w:t>Senate Majority Leader Teresa Ruiz</w:t>
      </w:r>
      <w:r>
        <w:rPr>
          <w:rFonts w:eastAsia="Cambria"/>
          <w:sz w:val="20"/>
          <w:szCs w:val="20"/>
        </w:rPr>
        <w:t xml:space="preserve"> will be honored with the Educator of the Year Award. </w:t>
      </w:r>
    </w:p>
    <w:p w14:paraId="642E4E17" w14:textId="5F76C1AA" w:rsidR="00F520AE" w:rsidRDefault="00F520AE" w:rsidP="001A0C51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651830F1" w14:textId="392C6B81" w:rsidR="00F520AE" w:rsidRPr="00F520AE" w:rsidRDefault="00F520AE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  <w:r w:rsidRPr="00F520AE">
        <w:rPr>
          <w:rFonts w:eastAsia="Cambria"/>
          <w:sz w:val="20"/>
          <w:szCs w:val="20"/>
        </w:rPr>
        <w:t>202</w:t>
      </w:r>
      <w:r>
        <w:rPr>
          <w:rFonts w:eastAsia="Cambria"/>
          <w:sz w:val="20"/>
          <w:szCs w:val="20"/>
        </w:rPr>
        <w:t>2</w:t>
      </w:r>
      <w:r w:rsidRPr="00F520AE">
        <w:rPr>
          <w:rFonts w:eastAsia="Cambria"/>
          <w:sz w:val="20"/>
          <w:szCs w:val="20"/>
        </w:rPr>
        <w:t xml:space="preserve"> Edison Patent Award winners include BASF, Celularity,</w:t>
      </w:r>
      <w:r w:rsidR="008F37E2">
        <w:rPr>
          <w:rFonts w:eastAsia="Cambria"/>
          <w:sz w:val="20"/>
          <w:szCs w:val="20"/>
        </w:rPr>
        <w:t xml:space="preserve"> Inc.,</w:t>
      </w:r>
      <w:r w:rsidRPr="00F520AE">
        <w:rPr>
          <w:rFonts w:eastAsia="Cambria"/>
          <w:sz w:val="20"/>
          <w:szCs w:val="20"/>
        </w:rPr>
        <w:t xml:space="preserve"> </w:t>
      </w:r>
      <w:r w:rsidR="008F37E2">
        <w:rPr>
          <w:rFonts w:eastAsia="Cambria"/>
          <w:sz w:val="20"/>
          <w:szCs w:val="20"/>
        </w:rPr>
        <w:t xml:space="preserve">Colgate-Palmolive, </w:t>
      </w:r>
      <w:r w:rsidR="008F37E2" w:rsidRPr="00F520AE">
        <w:rPr>
          <w:rFonts w:eastAsia="Cambria"/>
          <w:sz w:val="20"/>
          <w:szCs w:val="20"/>
        </w:rPr>
        <w:t>Ethicon, Inc. – a Johnson &amp; Johnson Company,</w:t>
      </w:r>
      <w:r w:rsidR="008F37E2">
        <w:rPr>
          <w:rFonts w:eastAsia="Cambria"/>
          <w:sz w:val="20"/>
          <w:szCs w:val="20"/>
        </w:rPr>
        <w:t xml:space="preserve"> </w:t>
      </w:r>
      <w:r w:rsidR="008F37E2" w:rsidRPr="008F37E2">
        <w:rPr>
          <w:rFonts w:eastAsia="Cambria"/>
          <w:sz w:val="20"/>
          <w:szCs w:val="20"/>
        </w:rPr>
        <w:t>Kulite Semiconductor Products, Inc</w:t>
      </w:r>
      <w:r w:rsidR="008F37E2">
        <w:rPr>
          <w:rFonts w:eastAsia="Cambria"/>
          <w:sz w:val="20"/>
          <w:szCs w:val="20"/>
        </w:rPr>
        <w:t xml:space="preserve">., Merck, New Jersey Institute of Technology, Princeton Plasma Physics Laboratory, Rowan University, </w:t>
      </w:r>
      <w:r w:rsidRPr="00F520AE">
        <w:rPr>
          <w:rFonts w:eastAsia="Cambria"/>
          <w:sz w:val="20"/>
          <w:szCs w:val="20"/>
        </w:rPr>
        <w:t xml:space="preserve">Rutgers, The State University of New Jersey, Siemens Healthineers, Siemens Technology, and Stryker. The recognized patents range from </w:t>
      </w:r>
      <w:r w:rsidR="00DD6870">
        <w:rPr>
          <w:rFonts w:eastAsia="Cambria"/>
          <w:sz w:val="20"/>
          <w:szCs w:val="20"/>
        </w:rPr>
        <w:t xml:space="preserve">consumer plastic packaging that can be recycled to an unmanned vehicle </w:t>
      </w:r>
      <w:r w:rsidR="00D80F0F">
        <w:rPr>
          <w:rFonts w:eastAsia="Cambria"/>
          <w:sz w:val="20"/>
          <w:szCs w:val="20"/>
        </w:rPr>
        <w:t xml:space="preserve">that can seamlessly move from underwater </w:t>
      </w:r>
      <w:r w:rsidR="000A26F2">
        <w:rPr>
          <w:rFonts w:eastAsia="Cambria"/>
          <w:sz w:val="20"/>
          <w:szCs w:val="20"/>
        </w:rPr>
        <w:t>into</w:t>
      </w:r>
      <w:r w:rsidR="00D80F0F">
        <w:rPr>
          <w:rFonts w:eastAsia="Cambria"/>
          <w:sz w:val="20"/>
          <w:szCs w:val="20"/>
        </w:rPr>
        <w:t xml:space="preserve"> the air. </w:t>
      </w:r>
    </w:p>
    <w:p w14:paraId="6C1A7360" w14:textId="77777777" w:rsidR="00F520AE" w:rsidRPr="00F520AE" w:rsidRDefault="00F520AE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4DC9244F" w14:textId="05323451" w:rsidR="00F520AE" w:rsidRDefault="00F520AE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  <w:r w:rsidRPr="00F520AE">
        <w:rPr>
          <w:rFonts w:eastAsia="Cambria"/>
          <w:sz w:val="20"/>
          <w:szCs w:val="20"/>
        </w:rPr>
        <w:t>Winners were selected by a team of R&amp;D Council researchers who evaluated patents for the significance of the problem, utility/socio-economic value, novelty</w:t>
      </w:r>
      <w:r w:rsidR="008F37E2">
        <w:rPr>
          <w:rFonts w:eastAsia="Cambria"/>
          <w:sz w:val="20"/>
          <w:szCs w:val="20"/>
        </w:rPr>
        <w:t>,</w:t>
      </w:r>
      <w:r w:rsidRPr="00F520AE">
        <w:rPr>
          <w:rFonts w:eastAsia="Cambria"/>
          <w:sz w:val="20"/>
          <w:szCs w:val="20"/>
        </w:rPr>
        <w:t xml:space="preserve"> and commercial impact. </w:t>
      </w:r>
      <w:r w:rsidR="00E20B10">
        <w:rPr>
          <w:rFonts w:eastAsia="Cambria"/>
          <w:sz w:val="20"/>
          <w:szCs w:val="20"/>
        </w:rPr>
        <w:t xml:space="preserve">All winning patents must have at least part of the technical/scientific work </w:t>
      </w:r>
      <w:r w:rsidR="009973CE">
        <w:rPr>
          <w:rFonts w:eastAsia="Cambria"/>
          <w:sz w:val="20"/>
          <w:szCs w:val="20"/>
        </w:rPr>
        <w:t xml:space="preserve">completed </w:t>
      </w:r>
      <w:r w:rsidR="00E20B10">
        <w:rPr>
          <w:rFonts w:eastAsia="Cambria"/>
          <w:sz w:val="20"/>
          <w:szCs w:val="20"/>
        </w:rPr>
        <w:t xml:space="preserve">in New Jersey. </w:t>
      </w:r>
      <w:r w:rsidRPr="00F520AE">
        <w:rPr>
          <w:rFonts w:eastAsia="Cambria"/>
          <w:sz w:val="20"/>
          <w:szCs w:val="20"/>
        </w:rPr>
        <w:t xml:space="preserve">A complete list of winners, patent names, and numbers can be found below. </w:t>
      </w:r>
    </w:p>
    <w:p w14:paraId="1C84949B" w14:textId="2545B2C3" w:rsidR="00E20B10" w:rsidRDefault="00E20B10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7DE79C02" w14:textId="3EA190CB" w:rsidR="00E20B10" w:rsidRDefault="00982D00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“</w:t>
      </w:r>
      <w:r w:rsidR="00094CBA">
        <w:rPr>
          <w:rFonts w:eastAsia="Cambria"/>
          <w:sz w:val="20"/>
          <w:szCs w:val="20"/>
        </w:rPr>
        <w:t xml:space="preserve">The Edison Patent Awards </w:t>
      </w:r>
      <w:r w:rsidR="000A26F2">
        <w:rPr>
          <w:rFonts w:eastAsia="Cambria"/>
          <w:sz w:val="20"/>
          <w:szCs w:val="20"/>
        </w:rPr>
        <w:t xml:space="preserve">is </w:t>
      </w:r>
      <w:r w:rsidR="00094CBA">
        <w:rPr>
          <w:rFonts w:eastAsia="Cambria"/>
          <w:sz w:val="20"/>
          <w:szCs w:val="20"/>
        </w:rPr>
        <w:t>once again uplifting the inventors and companies that make New Jersey a global</w:t>
      </w:r>
      <w:r w:rsidR="00D1385B">
        <w:rPr>
          <w:rFonts w:eastAsia="Cambria"/>
          <w:sz w:val="20"/>
          <w:szCs w:val="20"/>
        </w:rPr>
        <w:t xml:space="preserve"> innovation leader</w:t>
      </w:r>
      <w:r w:rsidR="002E5867">
        <w:rPr>
          <w:rFonts w:eastAsia="Cambria"/>
          <w:sz w:val="20"/>
          <w:szCs w:val="20"/>
        </w:rPr>
        <w:t>,”</w:t>
      </w:r>
      <w:r>
        <w:rPr>
          <w:rFonts w:eastAsia="Cambria"/>
          <w:sz w:val="20"/>
          <w:szCs w:val="20"/>
        </w:rPr>
        <w:t xml:space="preserve"> </w:t>
      </w:r>
      <w:r w:rsidR="00E20B10" w:rsidRPr="00E20B10">
        <w:rPr>
          <w:rFonts w:eastAsia="Cambria"/>
          <w:sz w:val="20"/>
          <w:szCs w:val="20"/>
        </w:rPr>
        <w:t>said Dr. Kevin Campos, Chairman of the R&amp;D Council Board of Directors and Vice President, Head of Process Research &amp; Development at Merck.</w:t>
      </w:r>
      <w:r w:rsidR="00A6145C">
        <w:rPr>
          <w:rFonts w:eastAsia="Cambria"/>
          <w:sz w:val="20"/>
          <w:szCs w:val="20"/>
        </w:rPr>
        <w:t xml:space="preserve"> “</w:t>
      </w:r>
      <w:r w:rsidR="00D1385B">
        <w:rPr>
          <w:rFonts w:eastAsia="Cambria"/>
          <w:sz w:val="20"/>
          <w:szCs w:val="20"/>
        </w:rPr>
        <w:t xml:space="preserve">Thomas Edison’s legacy lives on through the 57 honorees who are driving innovation and changing the world right here in the Garden State.” </w:t>
      </w:r>
    </w:p>
    <w:p w14:paraId="568CED35" w14:textId="7774EF54" w:rsidR="00E20B10" w:rsidRDefault="00E20B10" w:rsidP="00F520AE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7EE6BA26" w14:textId="3D85A877" w:rsidR="008B6EB2" w:rsidRDefault="008B6EB2" w:rsidP="003338A9">
      <w:pPr>
        <w:snapToGrid w:val="0"/>
        <w:spacing w:after="200"/>
        <w:contextualSpacing/>
        <w:rPr>
          <w:rFonts w:eastAsia="Cambria"/>
          <w:sz w:val="20"/>
          <w:szCs w:val="20"/>
        </w:rPr>
      </w:pPr>
      <w:r w:rsidRPr="001A0C51">
        <w:rPr>
          <w:rFonts w:eastAsia="Cambria"/>
          <w:sz w:val="20"/>
          <w:szCs w:val="20"/>
        </w:rPr>
        <w:t>David W.C. MacMillan</w:t>
      </w:r>
      <w:r>
        <w:rPr>
          <w:rFonts w:eastAsia="Cambria"/>
          <w:sz w:val="20"/>
          <w:szCs w:val="20"/>
        </w:rPr>
        <w:t xml:space="preserve">, Ph.D. will receive the Science &amp; Technology Medal for </w:t>
      </w:r>
      <w:r w:rsidR="000243AB" w:rsidRPr="000243AB">
        <w:rPr>
          <w:rFonts w:eastAsia="Cambria"/>
          <w:sz w:val="20"/>
          <w:szCs w:val="20"/>
        </w:rPr>
        <w:t>the development of asymmetric organocatalysis</w:t>
      </w:r>
      <w:r w:rsidR="000243AB">
        <w:rPr>
          <w:rFonts w:eastAsia="Cambria"/>
          <w:sz w:val="20"/>
          <w:szCs w:val="20"/>
        </w:rPr>
        <w:t xml:space="preserve"> – a new type of </w:t>
      </w:r>
      <w:r w:rsidR="00C70B86">
        <w:rPr>
          <w:rFonts w:eastAsia="Cambria"/>
          <w:sz w:val="20"/>
          <w:szCs w:val="20"/>
        </w:rPr>
        <w:t>catalyst</w:t>
      </w:r>
      <w:r w:rsidR="000243AB">
        <w:rPr>
          <w:rFonts w:eastAsia="Cambria"/>
          <w:sz w:val="20"/>
          <w:szCs w:val="20"/>
        </w:rPr>
        <w:t xml:space="preserve"> that </w:t>
      </w:r>
      <w:r w:rsidR="00C70B86">
        <w:rPr>
          <w:rFonts w:eastAsia="Cambria"/>
          <w:sz w:val="20"/>
          <w:szCs w:val="20"/>
        </w:rPr>
        <w:t>is greener than traditional metal catalyst</w:t>
      </w:r>
      <w:r w:rsidR="003338A9">
        <w:rPr>
          <w:rFonts w:eastAsia="Cambria"/>
          <w:sz w:val="20"/>
          <w:szCs w:val="20"/>
        </w:rPr>
        <w:t>. This innovation</w:t>
      </w:r>
      <w:r w:rsidR="00C70B86">
        <w:rPr>
          <w:rFonts w:eastAsia="Cambria"/>
          <w:sz w:val="20"/>
          <w:szCs w:val="20"/>
        </w:rPr>
        <w:t xml:space="preserve"> has transformed organic chemistry, leading the world to a new means of </w:t>
      </w:r>
      <w:r w:rsidRPr="008B6EB2">
        <w:rPr>
          <w:rFonts w:eastAsia="Cambria"/>
          <w:sz w:val="20"/>
          <w:szCs w:val="20"/>
        </w:rPr>
        <w:t>constructing drugs and materials. </w:t>
      </w:r>
      <w:r>
        <w:rPr>
          <w:rFonts w:eastAsia="Cambria"/>
          <w:sz w:val="20"/>
          <w:szCs w:val="20"/>
        </w:rPr>
        <w:t>Dr</w:t>
      </w:r>
      <w:r w:rsidR="003338A9">
        <w:rPr>
          <w:rFonts w:eastAsia="Cambria"/>
          <w:sz w:val="20"/>
          <w:szCs w:val="20"/>
        </w:rPr>
        <w:t>.</w:t>
      </w:r>
      <w:r>
        <w:rPr>
          <w:rFonts w:eastAsia="Cambria"/>
          <w:sz w:val="20"/>
          <w:szCs w:val="20"/>
        </w:rPr>
        <w:t xml:space="preserve"> MacMillan, the </w:t>
      </w:r>
      <w:r w:rsidRPr="008B6EB2">
        <w:rPr>
          <w:rFonts w:eastAsia="Cambria"/>
          <w:sz w:val="20"/>
          <w:szCs w:val="20"/>
        </w:rPr>
        <w:t>James S. McDonnell Distinguished University Professor of Chemistry at Princeton University</w:t>
      </w:r>
      <w:r>
        <w:rPr>
          <w:rFonts w:eastAsia="Cambria"/>
          <w:sz w:val="20"/>
          <w:szCs w:val="20"/>
        </w:rPr>
        <w:t xml:space="preserve"> received the </w:t>
      </w:r>
      <w:r w:rsidRPr="008B6EB2">
        <w:rPr>
          <w:rFonts w:eastAsia="Cambria"/>
          <w:sz w:val="20"/>
          <w:szCs w:val="20"/>
        </w:rPr>
        <w:t xml:space="preserve">Nobel Prize in Chemistry </w:t>
      </w:r>
      <w:r>
        <w:rPr>
          <w:rFonts w:eastAsia="Cambria"/>
          <w:sz w:val="20"/>
          <w:szCs w:val="20"/>
        </w:rPr>
        <w:t xml:space="preserve">in </w:t>
      </w:r>
      <w:r w:rsidRPr="008B6EB2">
        <w:rPr>
          <w:rFonts w:eastAsia="Cambria"/>
          <w:sz w:val="20"/>
          <w:szCs w:val="20"/>
        </w:rPr>
        <w:t>2021</w:t>
      </w:r>
      <w:r>
        <w:rPr>
          <w:rFonts w:eastAsia="Cambria"/>
          <w:sz w:val="20"/>
          <w:szCs w:val="20"/>
        </w:rPr>
        <w:t xml:space="preserve"> for this work. </w:t>
      </w:r>
      <w:r w:rsidR="00C70B86">
        <w:rPr>
          <w:rFonts w:eastAsia="Cambria"/>
          <w:sz w:val="20"/>
          <w:szCs w:val="20"/>
        </w:rPr>
        <w:t>The Science &amp; Technology Medal is awarded annually by the R&amp;D Council to New Jersey innovators</w:t>
      </w:r>
      <w:r w:rsidR="00C70B86" w:rsidRPr="00C70B86">
        <w:rPr>
          <w:rFonts w:eastAsia="Cambria"/>
          <w:sz w:val="20"/>
          <w:szCs w:val="20"/>
        </w:rPr>
        <w:t xml:space="preserve"> who have achieved outstanding and unparalleled advancements in the fields of science and technology and have extraordinary performance in bringing innovation from the laboratory to the marketplace. </w:t>
      </w:r>
    </w:p>
    <w:p w14:paraId="78F19E04" w14:textId="77777777" w:rsidR="00982D00" w:rsidRDefault="00982D00" w:rsidP="003338A9">
      <w:pPr>
        <w:snapToGrid w:val="0"/>
        <w:spacing w:after="200"/>
        <w:contextualSpacing/>
        <w:rPr>
          <w:rFonts w:eastAsia="Cambria"/>
          <w:sz w:val="20"/>
          <w:szCs w:val="20"/>
        </w:rPr>
      </w:pPr>
    </w:p>
    <w:p w14:paraId="056C952A" w14:textId="1F32E01C" w:rsidR="004F0808" w:rsidRDefault="003338A9" w:rsidP="004F0808">
      <w:pPr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lastRenderedPageBreak/>
        <w:t xml:space="preserve">New Jersey Department of Health Commissioner </w:t>
      </w:r>
      <w:r w:rsidRPr="003338A9">
        <w:rPr>
          <w:rFonts w:eastAsia="Cambria"/>
          <w:sz w:val="20"/>
          <w:szCs w:val="20"/>
        </w:rPr>
        <w:t xml:space="preserve">Judith M. Persichilli, R.N., B.S.N., M.A. will be honored with Chairman’s Award at the Edison Patent Awards. Commissioner Persichilli </w:t>
      </w:r>
      <w:r w:rsidR="00B8437E">
        <w:rPr>
          <w:rFonts w:eastAsia="Cambria"/>
          <w:sz w:val="20"/>
          <w:szCs w:val="20"/>
        </w:rPr>
        <w:t xml:space="preserve">will be honored for her tireless efforts leading the </w:t>
      </w:r>
      <w:r w:rsidR="004F0808">
        <w:rPr>
          <w:rFonts w:eastAsia="Cambria"/>
          <w:sz w:val="20"/>
          <w:szCs w:val="20"/>
        </w:rPr>
        <w:t xml:space="preserve">state’s </w:t>
      </w:r>
      <w:r w:rsidR="00B8437E">
        <w:rPr>
          <w:rFonts w:eastAsia="Cambria"/>
          <w:sz w:val="20"/>
          <w:szCs w:val="20"/>
        </w:rPr>
        <w:t xml:space="preserve">public health </w:t>
      </w:r>
      <w:r w:rsidR="004F0808">
        <w:rPr>
          <w:rFonts w:eastAsia="Cambria"/>
          <w:sz w:val="20"/>
          <w:szCs w:val="20"/>
        </w:rPr>
        <w:t xml:space="preserve">emergency </w:t>
      </w:r>
      <w:r w:rsidR="00B8437E">
        <w:rPr>
          <w:rFonts w:eastAsia="Cambria"/>
          <w:sz w:val="20"/>
          <w:szCs w:val="20"/>
        </w:rPr>
        <w:t xml:space="preserve">response during the COVID-19 pandemic, </w:t>
      </w:r>
      <w:r w:rsidR="004F0808">
        <w:rPr>
          <w:rFonts w:eastAsia="Cambria"/>
          <w:sz w:val="20"/>
          <w:szCs w:val="20"/>
        </w:rPr>
        <w:t>culminating in</w:t>
      </w:r>
      <w:r w:rsidR="00B8437E">
        <w:rPr>
          <w:rFonts w:eastAsia="Cambria"/>
          <w:sz w:val="20"/>
          <w:szCs w:val="20"/>
        </w:rPr>
        <w:t xml:space="preserve"> the </w:t>
      </w:r>
      <w:r w:rsidR="004F0808">
        <w:rPr>
          <w:rFonts w:eastAsia="Cambria"/>
          <w:sz w:val="20"/>
          <w:szCs w:val="20"/>
        </w:rPr>
        <w:t xml:space="preserve">distribution and </w:t>
      </w:r>
      <w:r w:rsidR="00B8437E">
        <w:rPr>
          <w:rFonts w:eastAsia="Cambria"/>
          <w:sz w:val="20"/>
          <w:szCs w:val="20"/>
        </w:rPr>
        <w:t>administration of more than 14 million</w:t>
      </w:r>
      <w:r w:rsidR="00454FC7">
        <w:rPr>
          <w:rFonts w:eastAsia="Cambria"/>
          <w:sz w:val="20"/>
          <w:szCs w:val="20"/>
        </w:rPr>
        <w:softHyphen/>
      </w:r>
      <w:r w:rsidR="00454FC7">
        <w:rPr>
          <w:rFonts w:eastAsia="Cambria"/>
          <w:sz w:val="20"/>
          <w:szCs w:val="20"/>
        </w:rPr>
        <w:softHyphen/>
        <w:t>–and counting–</w:t>
      </w:r>
      <w:r w:rsidR="00B8437E">
        <w:rPr>
          <w:rFonts w:eastAsia="Cambria"/>
          <w:sz w:val="20"/>
          <w:szCs w:val="20"/>
        </w:rPr>
        <w:t>doses of COV</w:t>
      </w:r>
      <w:r w:rsidR="004F0808">
        <w:rPr>
          <w:rFonts w:eastAsia="Cambria"/>
          <w:sz w:val="20"/>
          <w:szCs w:val="20"/>
        </w:rPr>
        <w:t>I</w:t>
      </w:r>
      <w:r w:rsidR="00B8437E">
        <w:rPr>
          <w:rFonts w:eastAsia="Cambria"/>
          <w:sz w:val="20"/>
          <w:szCs w:val="20"/>
        </w:rPr>
        <w:t xml:space="preserve">D-19 vaccines in the state. </w:t>
      </w:r>
      <w:r w:rsidR="004F0808">
        <w:rPr>
          <w:rFonts w:eastAsia="Cambria"/>
          <w:sz w:val="20"/>
          <w:szCs w:val="20"/>
        </w:rPr>
        <w:t xml:space="preserve">The Chairman’s Award honors New Jerseyans for their </w:t>
      </w:r>
      <w:r w:rsidR="004F0808" w:rsidRPr="004F0808">
        <w:rPr>
          <w:rFonts w:eastAsia="Cambria"/>
          <w:sz w:val="20"/>
          <w:szCs w:val="20"/>
        </w:rPr>
        <w:t xml:space="preserve">outstanding effort and leadership in uniting industry, academia, and the state in pursuit of enhancing and emphasizing a research-based economy in </w:t>
      </w:r>
      <w:r w:rsidR="000A26F2">
        <w:rPr>
          <w:rFonts w:eastAsia="Cambria"/>
          <w:sz w:val="20"/>
          <w:szCs w:val="20"/>
        </w:rPr>
        <w:t>New Jersey.</w:t>
      </w:r>
      <w:r w:rsidR="004F0808">
        <w:rPr>
          <w:rFonts w:eastAsia="Cambria"/>
          <w:sz w:val="20"/>
          <w:szCs w:val="20"/>
        </w:rPr>
        <w:t xml:space="preserve"> </w:t>
      </w:r>
    </w:p>
    <w:p w14:paraId="09288D01" w14:textId="73B60FEA" w:rsidR="004F0808" w:rsidRDefault="004F0808" w:rsidP="004F0808">
      <w:pPr>
        <w:rPr>
          <w:rFonts w:eastAsia="Cambria"/>
          <w:sz w:val="20"/>
          <w:szCs w:val="20"/>
        </w:rPr>
      </w:pPr>
    </w:p>
    <w:p w14:paraId="4216F99F" w14:textId="5C0815E6" w:rsidR="009B04FE" w:rsidRDefault="004F0808" w:rsidP="009B04FE">
      <w:pPr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The Educator of the Year Award will be awarded to New Jersey Senate Majority Leader Teresa Ruiz</w:t>
      </w:r>
      <w:r w:rsidR="00FB2680">
        <w:rPr>
          <w:rFonts w:eastAsia="Cambria"/>
          <w:sz w:val="20"/>
          <w:szCs w:val="20"/>
        </w:rPr>
        <w:t xml:space="preserve"> (District 29)</w:t>
      </w:r>
      <w:r>
        <w:rPr>
          <w:rFonts w:eastAsia="Cambria"/>
          <w:sz w:val="20"/>
          <w:szCs w:val="20"/>
        </w:rPr>
        <w:t xml:space="preserve">.  Prior to becoming Majority Leader in 2022, Senator Ruiz served as the Chair of the Senate Education Committee for </w:t>
      </w:r>
      <w:r w:rsidR="003262CA">
        <w:rPr>
          <w:rFonts w:eastAsia="Cambria"/>
          <w:sz w:val="20"/>
          <w:szCs w:val="20"/>
        </w:rPr>
        <w:t>12 years where she fought for equity in education spaces</w:t>
      </w:r>
      <w:r w:rsidR="00454FC7">
        <w:rPr>
          <w:rFonts w:eastAsia="Cambria"/>
          <w:sz w:val="20"/>
          <w:szCs w:val="20"/>
        </w:rPr>
        <w:t>. Senator Ruiz</w:t>
      </w:r>
      <w:r w:rsidR="003262CA">
        <w:rPr>
          <w:rFonts w:eastAsia="Cambria"/>
          <w:sz w:val="20"/>
          <w:szCs w:val="20"/>
        </w:rPr>
        <w:t xml:space="preserve"> </w:t>
      </w:r>
      <w:r w:rsidR="00454FC7">
        <w:rPr>
          <w:rFonts w:eastAsia="Cambria"/>
          <w:sz w:val="20"/>
          <w:szCs w:val="20"/>
        </w:rPr>
        <w:t>has been</w:t>
      </w:r>
      <w:r w:rsidR="003262CA">
        <w:rPr>
          <w:rFonts w:eastAsia="Cambria"/>
          <w:sz w:val="20"/>
          <w:szCs w:val="20"/>
        </w:rPr>
        <w:t xml:space="preserve"> the leading force to in increasing access to early childhood education with the expansion of state-funded Pre-K in New Jersey.  </w:t>
      </w:r>
      <w:r w:rsidR="00454FC7">
        <w:rPr>
          <w:rFonts w:eastAsia="Cambria"/>
          <w:sz w:val="20"/>
          <w:szCs w:val="20"/>
        </w:rPr>
        <w:t>She</w:t>
      </w:r>
      <w:r w:rsidR="003262CA">
        <w:rPr>
          <w:rFonts w:eastAsia="Cambria"/>
          <w:sz w:val="20"/>
          <w:szCs w:val="20"/>
        </w:rPr>
        <w:t xml:space="preserve"> has championed </w:t>
      </w:r>
      <w:r w:rsidR="009B04FE">
        <w:rPr>
          <w:rFonts w:eastAsia="Cambria"/>
          <w:sz w:val="20"/>
          <w:szCs w:val="20"/>
        </w:rPr>
        <w:t xml:space="preserve">apprenticeship programs to support career pathways in high-growth industries and sponsored legislation to increase teacher diversity. The Educator of the Year Award </w:t>
      </w:r>
      <w:r w:rsidR="009B04FE" w:rsidRPr="009B04FE">
        <w:rPr>
          <w:rFonts w:eastAsia="Cambria"/>
          <w:sz w:val="20"/>
          <w:szCs w:val="20"/>
        </w:rPr>
        <w:t xml:space="preserve">recognizes a leader in New Jersey for their achievements in the advancement of STEM (Science, Technology, Engineering and Mathematics) education in New Jersey. </w:t>
      </w:r>
    </w:p>
    <w:p w14:paraId="3C36E0F1" w14:textId="21DB9900" w:rsidR="003338A9" w:rsidRPr="009B04FE" w:rsidRDefault="003338A9" w:rsidP="00C70B86">
      <w:pPr>
        <w:rPr>
          <w:rFonts w:eastAsia="Cambria"/>
          <w:sz w:val="20"/>
          <w:szCs w:val="20"/>
        </w:rPr>
      </w:pPr>
    </w:p>
    <w:p w14:paraId="7CAE91C0" w14:textId="6452C169" w:rsidR="009B04FE" w:rsidRPr="009B04FE" w:rsidRDefault="009B04FE" w:rsidP="009B04F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>The 4</w:t>
      </w:r>
      <w:r>
        <w:rPr>
          <w:rStyle w:val="normaltextrun"/>
          <w:color w:val="1B1B1B"/>
          <w:sz w:val="20"/>
          <w:szCs w:val="20"/>
          <w:shd w:val="clear" w:color="auto" w:fill="FFFFFF"/>
        </w:rPr>
        <w:t>3</w:t>
      </w:r>
      <w:r w:rsidRPr="00982D00">
        <w:rPr>
          <w:rStyle w:val="normaltextrun"/>
          <w:color w:val="1B1B1B"/>
          <w:sz w:val="20"/>
          <w:szCs w:val="20"/>
          <w:shd w:val="clear" w:color="auto" w:fill="FFFFFF"/>
          <w:vertAlign w:val="superscript"/>
        </w:rPr>
        <w:t>rd</w:t>
      </w: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 xml:space="preserve"> annual Edison Patent Awards Ceremony </w:t>
      </w:r>
      <w:r>
        <w:rPr>
          <w:rStyle w:val="normaltextrun"/>
          <w:color w:val="1B1B1B"/>
          <w:sz w:val="20"/>
          <w:szCs w:val="20"/>
          <w:shd w:val="clear" w:color="auto" w:fill="FFFFFF"/>
        </w:rPr>
        <w:t xml:space="preserve">and Reception </w:t>
      </w: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 xml:space="preserve">will take place in person on Thursday, November </w:t>
      </w:r>
      <w:r>
        <w:rPr>
          <w:rStyle w:val="normaltextrun"/>
          <w:color w:val="1B1B1B"/>
          <w:sz w:val="20"/>
          <w:szCs w:val="20"/>
          <w:shd w:val="clear" w:color="auto" w:fill="FFFFFF"/>
        </w:rPr>
        <w:t>3</w:t>
      </w: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 xml:space="preserve">, </w:t>
      </w:r>
      <w:r w:rsidR="00982D00" w:rsidRPr="009B04FE">
        <w:rPr>
          <w:rStyle w:val="normaltextrun"/>
          <w:color w:val="1B1B1B"/>
          <w:sz w:val="20"/>
          <w:szCs w:val="20"/>
          <w:shd w:val="clear" w:color="auto" w:fill="FFFFFF"/>
        </w:rPr>
        <w:t>202</w:t>
      </w:r>
      <w:r w:rsidR="00982D00">
        <w:rPr>
          <w:rStyle w:val="normaltextrun"/>
          <w:color w:val="1B1B1B"/>
          <w:sz w:val="20"/>
          <w:szCs w:val="20"/>
          <w:shd w:val="clear" w:color="auto" w:fill="FFFFFF"/>
        </w:rPr>
        <w:t xml:space="preserve">2 </w:t>
      </w: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 xml:space="preserve">at the Liberty Science Center. During this ceremony each award winner will have a special tribute film premiered in their honor. For information on sponsorship, ads, and tickets, please visit </w:t>
      </w:r>
      <w:hyperlink r:id="rId7" w:history="1">
        <w:r w:rsidR="00887443" w:rsidRPr="00887443">
          <w:rPr>
            <w:rStyle w:val="Hyperlink"/>
            <w:sz w:val="20"/>
            <w:szCs w:val="20"/>
            <w:shd w:val="clear" w:color="auto" w:fill="FFFFFF"/>
          </w:rPr>
          <w:t>here</w:t>
        </w:r>
      </w:hyperlink>
      <w:r w:rsidR="00887443">
        <w:rPr>
          <w:rStyle w:val="normaltextrun"/>
          <w:color w:val="1B1B1B"/>
          <w:sz w:val="20"/>
          <w:szCs w:val="20"/>
          <w:shd w:val="clear" w:color="auto" w:fill="FFFFFF"/>
        </w:rPr>
        <w:t>.</w:t>
      </w:r>
      <w:r w:rsidRPr="009B04FE">
        <w:rPr>
          <w:rStyle w:val="normaltextrun"/>
          <w:color w:val="1B1B1B"/>
          <w:sz w:val="20"/>
          <w:szCs w:val="20"/>
          <w:shd w:val="clear" w:color="auto" w:fill="FFFFFF"/>
        </w:rPr>
        <w:t xml:space="preserve"> </w:t>
      </w:r>
      <w:r w:rsidRPr="00454FC7">
        <w:rPr>
          <w:rStyle w:val="normaltextrun"/>
          <w:color w:val="1B1B1B"/>
          <w:sz w:val="20"/>
          <w:szCs w:val="20"/>
          <w:shd w:val="clear" w:color="auto" w:fill="FFFFFF"/>
        </w:rPr>
        <w:t>For more</w:t>
      </w:r>
      <w:r w:rsidRPr="009B04FE">
        <w:rPr>
          <w:rStyle w:val="normaltextrun"/>
          <w:sz w:val="20"/>
          <w:szCs w:val="20"/>
        </w:rPr>
        <w:t xml:space="preserve"> information on the award winners, the event</w:t>
      </w:r>
      <w:r w:rsidR="00982D00">
        <w:rPr>
          <w:rStyle w:val="normaltextrun"/>
          <w:sz w:val="20"/>
          <w:szCs w:val="20"/>
        </w:rPr>
        <w:t>,</w:t>
      </w:r>
      <w:r w:rsidRPr="009B04FE">
        <w:rPr>
          <w:rStyle w:val="normaltextrun"/>
          <w:sz w:val="20"/>
          <w:szCs w:val="20"/>
        </w:rPr>
        <w:t xml:space="preserve"> or the R&amp;D Council, please contact Council Executive Director Kim Case at 908.875.7167 or email </w:t>
      </w:r>
      <w:hyperlink r:id="rId8" w:history="1">
        <w:r w:rsidR="00982D00" w:rsidRPr="007F4DA5">
          <w:rPr>
            <w:rStyle w:val="Hyperlink"/>
            <w:sz w:val="20"/>
            <w:szCs w:val="20"/>
          </w:rPr>
          <w:t>kcase@rdnj.org</w:t>
        </w:r>
      </w:hyperlink>
      <w:r w:rsidRPr="009B04FE">
        <w:rPr>
          <w:rStyle w:val="normaltextrun"/>
          <w:sz w:val="20"/>
          <w:szCs w:val="20"/>
        </w:rPr>
        <w:t xml:space="preserve">. This release can also be found online at </w:t>
      </w:r>
      <w:hyperlink r:id="rId9" w:tgtFrame="_blank" w:history="1">
        <w:r w:rsidRPr="009B04FE">
          <w:rPr>
            <w:rStyle w:val="normaltextrun"/>
            <w:color w:val="0000FF"/>
            <w:sz w:val="20"/>
            <w:szCs w:val="20"/>
            <w:u w:val="single"/>
          </w:rPr>
          <w:t>www.rdnj.org</w:t>
        </w:r>
      </w:hyperlink>
      <w:r w:rsidRPr="009B04FE">
        <w:rPr>
          <w:rStyle w:val="normaltextrun"/>
          <w:sz w:val="20"/>
          <w:szCs w:val="20"/>
        </w:rPr>
        <w:t>. </w:t>
      </w:r>
      <w:r w:rsidRPr="009B04FE">
        <w:rPr>
          <w:rStyle w:val="eop"/>
          <w:sz w:val="20"/>
          <w:szCs w:val="20"/>
        </w:rPr>
        <w:t> </w:t>
      </w:r>
    </w:p>
    <w:p w14:paraId="5C9EA834" w14:textId="77777777" w:rsidR="00982D00" w:rsidRDefault="00982D00" w:rsidP="009B04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0"/>
          <w:szCs w:val="20"/>
        </w:rPr>
      </w:pPr>
    </w:p>
    <w:p w14:paraId="501A7D71" w14:textId="076C30F4" w:rsidR="009B04FE" w:rsidRPr="009B04FE" w:rsidRDefault="009B04FE" w:rsidP="009B04F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B04FE">
        <w:rPr>
          <w:rStyle w:val="normaltextrun"/>
          <w:i/>
          <w:iCs/>
          <w:sz w:val="20"/>
          <w:szCs w:val="20"/>
        </w:rPr>
        <w:t>###</w:t>
      </w:r>
      <w:r w:rsidRPr="009B04FE">
        <w:rPr>
          <w:rStyle w:val="eop"/>
          <w:sz w:val="20"/>
          <w:szCs w:val="20"/>
        </w:rPr>
        <w:t> </w:t>
      </w:r>
    </w:p>
    <w:p w14:paraId="234B3A49" w14:textId="77777777" w:rsidR="009B04FE" w:rsidRPr="009B04FE" w:rsidRDefault="009B04FE" w:rsidP="009B04F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B04FE">
        <w:rPr>
          <w:rStyle w:val="eop"/>
          <w:sz w:val="20"/>
          <w:szCs w:val="20"/>
        </w:rPr>
        <w:t> </w:t>
      </w:r>
    </w:p>
    <w:p w14:paraId="1807BB05" w14:textId="4ADC7B1F" w:rsidR="009B04FE" w:rsidRPr="009B04FE" w:rsidRDefault="009B04FE" w:rsidP="009B04F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B04FE">
        <w:rPr>
          <w:rStyle w:val="normaltextrun"/>
          <w:i/>
          <w:iCs/>
          <w:sz w:val="20"/>
          <w:szCs w:val="20"/>
        </w:rPr>
        <w:t xml:space="preserve">As the Research &amp; Development Council of New Jersey, we collaborate among industry, </w:t>
      </w:r>
      <w:r w:rsidR="00982D00" w:rsidRPr="009B04FE">
        <w:rPr>
          <w:rStyle w:val="normaltextrun"/>
          <w:i/>
          <w:iCs/>
          <w:sz w:val="20"/>
          <w:szCs w:val="20"/>
        </w:rPr>
        <w:t>academia,</w:t>
      </w:r>
      <w:r w:rsidRPr="009B04FE">
        <w:rPr>
          <w:rStyle w:val="normaltextrun"/>
          <w:i/>
          <w:iCs/>
          <w:sz w:val="20"/>
          <w:szCs w:val="20"/>
        </w:rPr>
        <w:t xml:space="preserve"> and government to grow and strengthen STEM in education, innovation</w:t>
      </w:r>
      <w:r w:rsidR="00982D00">
        <w:rPr>
          <w:rStyle w:val="normaltextrun"/>
          <w:i/>
          <w:iCs/>
          <w:sz w:val="20"/>
          <w:szCs w:val="20"/>
        </w:rPr>
        <w:t>,</w:t>
      </w:r>
      <w:r w:rsidRPr="009B04FE">
        <w:rPr>
          <w:rStyle w:val="normaltextrun"/>
          <w:i/>
          <w:iCs/>
          <w:sz w:val="20"/>
          <w:szCs w:val="20"/>
        </w:rPr>
        <w:t xml:space="preserve"> and the economy. The </w:t>
      </w:r>
      <w:r w:rsidRPr="009B04FE">
        <w:rPr>
          <w:rStyle w:val="normaltextrun"/>
          <w:i/>
          <w:iCs/>
          <w:color w:val="000000"/>
          <w:sz w:val="20"/>
          <w:szCs w:val="20"/>
        </w:rPr>
        <w:t>R&amp;D Council</w:t>
      </w:r>
      <w:r w:rsidRPr="009B04FE">
        <w:rPr>
          <w:rStyle w:val="normaltextrun"/>
          <w:i/>
          <w:iCs/>
          <w:sz w:val="20"/>
          <w:szCs w:val="20"/>
        </w:rPr>
        <w:t xml:space="preserve"> is a nonprofit 501(c)(3) organization whose membership includes representatives from academia, government</w:t>
      </w:r>
      <w:r w:rsidR="00982D00">
        <w:rPr>
          <w:rStyle w:val="normaltextrun"/>
          <w:i/>
          <w:iCs/>
          <w:sz w:val="20"/>
          <w:szCs w:val="20"/>
        </w:rPr>
        <w:t>,</w:t>
      </w:r>
      <w:r w:rsidRPr="009B04FE">
        <w:rPr>
          <w:rStyle w:val="normaltextrun"/>
          <w:i/>
          <w:iCs/>
          <w:sz w:val="20"/>
          <w:szCs w:val="20"/>
        </w:rPr>
        <w:t xml:space="preserve"> and industry, including several Fortune 500 companies. More information can be found at the </w:t>
      </w:r>
      <w:r w:rsidRPr="009B04FE">
        <w:rPr>
          <w:rStyle w:val="normaltextrun"/>
          <w:i/>
          <w:iCs/>
          <w:color w:val="000000"/>
          <w:sz w:val="20"/>
          <w:szCs w:val="20"/>
        </w:rPr>
        <w:t>R&amp;D Council’s</w:t>
      </w:r>
      <w:r w:rsidRPr="009B04FE">
        <w:rPr>
          <w:rStyle w:val="normaltextrun"/>
          <w:i/>
          <w:iCs/>
          <w:sz w:val="20"/>
          <w:szCs w:val="20"/>
        </w:rPr>
        <w:t xml:space="preserve"> website: </w:t>
      </w:r>
      <w:hyperlink r:id="rId10" w:tgtFrame="_blank" w:history="1">
        <w:r w:rsidRPr="009B04FE">
          <w:rPr>
            <w:rStyle w:val="normaltextrun"/>
            <w:i/>
            <w:iCs/>
            <w:color w:val="0000FF"/>
            <w:sz w:val="20"/>
            <w:szCs w:val="20"/>
            <w:u w:val="single"/>
          </w:rPr>
          <w:t>www.rdnj.org</w:t>
        </w:r>
      </w:hyperlink>
      <w:r w:rsidRPr="009B04FE">
        <w:rPr>
          <w:rStyle w:val="normaltextrun"/>
          <w:i/>
          <w:iCs/>
          <w:sz w:val="20"/>
          <w:szCs w:val="20"/>
        </w:rPr>
        <w:t>.</w:t>
      </w:r>
      <w:r w:rsidRPr="009B04FE">
        <w:rPr>
          <w:rStyle w:val="eop"/>
          <w:sz w:val="20"/>
          <w:szCs w:val="20"/>
        </w:rPr>
        <w:t> </w:t>
      </w:r>
    </w:p>
    <w:p w14:paraId="7B9E60A4" w14:textId="77777777" w:rsidR="009B04FE" w:rsidRPr="009B04FE" w:rsidRDefault="009B04FE" w:rsidP="009B04F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9B04FE">
        <w:rPr>
          <w:rStyle w:val="eop"/>
          <w:sz w:val="20"/>
          <w:szCs w:val="20"/>
        </w:rPr>
        <w:t> </w:t>
      </w:r>
    </w:p>
    <w:p w14:paraId="6D45F619" w14:textId="257AD63D" w:rsidR="00E20B10" w:rsidRPr="00A8719B" w:rsidRDefault="009B04FE" w:rsidP="00A8719B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9B04FE">
        <w:rPr>
          <w:rStyle w:val="normaltextrun"/>
          <w:b/>
          <w:bCs/>
          <w:i/>
          <w:iCs/>
          <w:sz w:val="20"/>
          <w:szCs w:val="20"/>
        </w:rPr>
        <w:t>Growing STEM. Advancing Innovation. Impacting the World.</w:t>
      </w:r>
      <w:r w:rsidRPr="009B04FE">
        <w:rPr>
          <w:rStyle w:val="eop"/>
          <w:sz w:val="20"/>
          <w:szCs w:val="20"/>
        </w:rPr>
        <w:t> </w:t>
      </w:r>
    </w:p>
    <w:p w14:paraId="3197F7F8" w14:textId="2E10B066" w:rsidR="001A0C51" w:rsidRPr="001A0C51" w:rsidRDefault="001A0C51" w:rsidP="001A0C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14:paraId="3442C4A3" w14:textId="1CA83C4C" w:rsidR="00F25744" w:rsidRDefault="00F25744" w:rsidP="00454F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6"/>
          <w:szCs w:val="36"/>
        </w:rPr>
      </w:pPr>
    </w:p>
    <w:p w14:paraId="7D1DEAB9" w14:textId="77777777" w:rsidR="00454FC7" w:rsidRPr="001A0C51" w:rsidRDefault="00454FC7" w:rsidP="00454F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797C6838" w14:textId="77777777" w:rsidR="00A8719B" w:rsidRDefault="00A8719B">
      <w:pPr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br w:type="page"/>
      </w:r>
    </w:p>
    <w:p w14:paraId="28E14F76" w14:textId="7479A358" w:rsidR="00F56FE1" w:rsidRPr="00454FC7" w:rsidRDefault="00F56FE1" w:rsidP="00F04A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54FC7">
        <w:rPr>
          <w:rStyle w:val="normaltextrun"/>
          <w:b/>
          <w:bCs/>
          <w:sz w:val="32"/>
          <w:szCs w:val="32"/>
        </w:rPr>
        <w:lastRenderedPageBreak/>
        <w:t>2022 Edison Patent Award Winners</w:t>
      </w:r>
      <w:r w:rsidRPr="00454FC7">
        <w:rPr>
          <w:rStyle w:val="eop"/>
          <w:sz w:val="32"/>
          <w:szCs w:val="32"/>
        </w:rPr>
        <w:t> </w:t>
      </w:r>
    </w:p>
    <w:p w14:paraId="41B662B2" w14:textId="0CF52035" w:rsidR="00C07C38" w:rsidRPr="00810074" w:rsidRDefault="00C07C38" w:rsidP="00C07C38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711"/>
        <w:gridCol w:w="2422"/>
        <w:gridCol w:w="3878"/>
      </w:tblGrid>
      <w:tr w:rsidR="00B518DA" w:rsidRPr="00454FC7" w14:paraId="7206765C" w14:textId="77777777" w:rsidTr="00B518DA">
        <w:trPr>
          <w:trHeight w:val="386"/>
          <w:jc w:val="center"/>
        </w:trPr>
        <w:tc>
          <w:tcPr>
            <w:tcW w:w="3329" w:type="dxa"/>
            <w:shd w:val="clear" w:color="auto" w:fill="auto"/>
          </w:tcPr>
          <w:p w14:paraId="076FA79A" w14:textId="77777777" w:rsidR="00B518DA" w:rsidRPr="00454FC7" w:rsidRDefault="00B518DA" w:rsidP="00C07C38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454FC7">
              <w:rPr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1711" w:type="dxa"/>
            <w:shd w:val="clear" w:color="auto" w:fill="auto"/>
          </w:tcPr>
          <w:p w14:paraId="617D654F" w14:textId="77777777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b/>
                <w:bCs/>
                <w:color w:val="212121"/>
                <w:sz w:val="20"/>
                <w:szCs w:val="20"/>
              </w:rPr>
            </w:pPr>
            <w:r w:rsidRPr="00454FC7">
              <w:rPr>
                <w:b/>
                <w:bCs/>
                <w:color w:val="212121"/>
                <w:sz w:val="20"/>
                <w:szCs w:val="20"/>
              </w:rPr>
              <w:t>Category</w:t>
            </w:r>
          </w:p>
        </w:tc>
        <w:tc>
          <w:tcPr>
            <w:tcW w:w="2422" w:type="dxa"/>
            <w:shd w:val="clear" w:color="auto" w:fill="auto"/>
          </w:tcPr>
          <w:p w14:paraId="22A4618A" w14:textId="77777777" w:rsidR="00B518DA" w:rsidRPr="00454FC7" w:rsidRDefault="00B518DA" w:rsidP="00C07C38">
            <w:pPr>
              <w:shd w:val="clear" w:color="auto" w:fill="FFFFFF"/>
              <w:snapToGrid w:val="0"/>
              <w:contextualSpacing/>
              <w:jc w:val="both"/>
              <w:rPr>
                <w:b/>
                <w:bCs/>
                <w:color w:val="212121"/>
                <w:sz w:val="20"/>
                <w:szCs w:val="20"/>
              </w:rPr>
            </w:pPr>
            <w:r w:rsidRPr="00454FC7">
              <w:rPr>
                <w:b/>
                <w:bCs/>
                <w:color w:val="212121"/>
                <w:sz w:val="20"/>
                <w:szCs w:val="20"/>
              </w:rPr>
              <w:t>Inventor Names</w:t>
            </w:r>
          </w:p>
        </w:tc>
        <w:tc>
          <w:tcPr>
            <w:tcW w:w="3878" w:type="dxa"/>
            <w:shd w:val="clear" w:color="auto" w:fill="auto"/>
          </w:tcPr>
          <w:p w14:paraId="5CDE0439" w14:textId="31595E1A" w:rsidR="00B518DA" w:rsidRPr="00454FC7" w:rsidRDefault="00B518DA" w:rsidP="00454FC7">
            <w:pPr>
              <w:shd w:val="clear" w:color="auto" w:fill="FFFFFF"/>
              <w:snapToGrid w:val="0"/>
              <w:contextualSpacing/>
              <w:rPr>
                <w:b/>
                <w:bCs/>
                <w:color w:val="212121"/>
                <w:sz w:val="20"/>
                <w:szCs w:val="20"/>
              </w:rPr>
            </w:pPr>
            <w:r w:rsidRPr="00454FC7">
              <w:rPr>
                <w:b/>
                <w:bCs/>
                <w:color w:val="212121"/>
                <w:sz w:val="20"/>
                <w:szCs w:val="20"/>
              </w:rPr>
              <w:t xml:space="preserve">Patent Name and Number </w:t>
            </w:r>
          </w:p>
        </w:tc>
      </w:tr>
      <w:tr w:rsidR="00B518DA" w:rsidRPr="00454FC7" w14:paraId="254FF7F2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3B234961" w14:textId="149933A5" w:rsidR="00B518DA" w:rsidRPr="00454FC7" w:rsidRDefault="00B518DA" w:rsidP="00C07C38">
            <w:pPr>
              <w:snapToGrid w:val="0"/>
              <w:contextualSpacing/>
              <w:rPr>
                <w:sz w:val="20"/>
                <w:szCs w:val="20"/>
              </w:rPr>
            </w:pPr>
            <w:r w:rsidRPr="00454FC7">
              <w:rPr>
                <w:rStyle w:val="eop"/>
                <w:color w:val="000000"/>
                <w:sz w:val="20"/>
                <w:szCs w:val="20"/>
              </w:rPr>
              <w:t>BASF</w:t>
            </w:r>
          </w:p>
        </w:tc>
        <w:tc>
          <w:tcPr>
            <w:tcW w:w="1711" w:type="dxa"/>
            <w:shd w:val="clear" w:color="auto" w:fill="auto"/>
          </w:tcPr>
          <w:p w14:paraId="53C2E77A" w14:textId="599A0121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color w:val="212121"/>
                <w:sz w:val="20"/>
                <w:szCs w:val="20"/>
              </w:rPr>
            </w:pPr>
            <w:r w:rsidRPr="00454FC7">
              <w:rPr>
                <w:rStyle w:val="normaltextrun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2422" w:type="dxa"/>
            <w:shd w:val="clear" w:color="auto" w:fill="auto"/>
          </w:tcPr>
          <w:p w14:paraId="773719F8" w14:textId="613655A2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color w:val="212121"/>
                <w:sz w:val="20"/>
                <w:szCs w:val="20"/>
              </w:rPr>
            </w:pPr>
            <w:r w:rsidRPr="00454FC7">
              <w:rPr>
                <w:rStyle w:val="eop"/>
                <w:color w:val="000000"/>
                <w:sz w:val="20"/>
                <w:szCs w:val="20"/>
              </w:rPr>
              <w:t>David Weinberger, Wolfgang Ruettinger, Pascaline Tran, Laif Alden, Ting Gu, Feng Zhao, Anju Shi, Nils Lawrenz, and Lukas Wengeler</w:t>
            </w:r>
          </w:p>
        </w:tc>
        <w:tc>
          <w:tcPr>
            <w:tcW w:w="3878" w:type="dxa"/>
            <w:shd w:val="clear" w:color="auto" w:fill="auto"/>
          </w:tcPr>
          <w:p w14:paraId="17EC3974" w14:textId="7C8013AC" w:rsidR="00B518DA" w:rsidRPr="00454FC7" w:rsidRDefault="00B518DA" w:rsidP="00B518DA">
            <w:pPr>
              <w:shd w:val="clear" w:color="auto" w:fill="FFFFFF"/>
              <w:snapToGrid w:val="0"/>
              <w:contextualSpacing/>
              <w:rPr>
                <w:color w:val="212121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Manganese Oxide Based Catalyst and Catalyst Device for the Removal of Formaldehyde and Volatile Organic Compounds, U.S. Patent 11,203,009 B2</w:t>
            </w:r>
          </w:p>
        </w:tc>
      </w:tr>
      <w:tr w:rsidR="00B518DA" w:rsidRPr="00454FC7" w14:paraId="6D102D72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094ABB54" w14:textId="31A7D3C2" w:rsidR="00B518DA" w:rsidRPr="00454FC7" w:rsidRDefault="00B518DA" w:rsidP="00C07C38">
            <w:pPr>
              <w:snapToGrid w:val="0"/>
              <w:contextualSpacing/>
              <w:rPr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Celularity Inc.</w:t>
            </w:r>
          </w:p>
        </w:tc>
        <w:tc>
          <w:tcPr>
            <w:tcW w:w="1711" w:type="dxa"/>
            <w:shd w:val="clear" w:color="auto" w:fill="auto"/>
          </w:tcPr>
          <w:p w14:paraId="13014881" w14:textId="7F7AA38A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normaltextrun"/>
                <w:color w:val="000000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Emerging Therapies</w:t>
            </w:r>
          </w:p>
        </w:tc>
        <w:tc>
          <w:tcPr>
            <w:tcW w:w="2422" w:type="dxa"/>
            <w:shd w:val="clear" w:color="auto" w:fill="auto"/>
          </w:tcPr>
          <w:p w14:paraId="33473F2D" w14:textId="335DD657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normaltextrun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Robert J. Hariri, M</w:t>
            </w:r>
            <w:r>
              <w:rPr>
                <w:rStyle w:val="eop"/>
                <w:sz w:val="20"/>
                <w:szCs w:val="20"/>
              </w:rPr>
              <w:t>D</w:t>
            </w:r>
            <w:r w:rsidRPr="00454FC7">
              <w:rPr>
                <w:rStyle w:val="eop"/>
                <w:sz w:val="20"/>
                <w:szCs w:val="20"/>
              </w:rPr>
              <w:t>, Ph</w:t>
            </w:r>
            <w:r>
              <w:rPr>
                <w:rStyle w:val="eop"/>
                <w:sz w:val="20"/>
                <w:szCs w:val="20"/>
              </w:rPr>
              <w:t>.</w:t>
            </w:r>
            <w:r w:rsidRPr="00454FC7">
              <w:rPr>
                <w:rStyle w:val="eop"/>
                <w:sz w:val="20"/>
                <w:szCs w:val="20"/>
              </w:rPr>
              <w:t>D</w:t>
            </w:r>
            <w:r>
              <w:rPr>
                <w:rStyle w:val="eop"/>
                <w:sz w:val="20"/>
                <w:szCs w:val="20"/>
              </w:rPr>
              <w:t>.</w:t>
            </w:r>
          </w:p>
        </w:tc>
        <w:tc>
          <w:tcPr>
            <w:tcW w:w="3878" w:type="dxa"/>
            <w:shd w:val="clear" w:color="auto" w:fill="auto"/>
          </w:tcPr>
          <w:p w14:paraId="4F4F71AC" w14:textId="0EC31C88" w:rsidR="00B518DA" w:rsidRPr="00454FC7" w:rsidRDefault="00B518DA" w:rsidP="00C07C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Method of Collecting Placental Stem Cells, U.S. Patent 10,113,146</w:t>
            </w:r>
          </w:p>
        </w:tc>
      </w:tr>
      <w:tr w:rsidR="00B518DA" w:rsidRPr="00454FC7" w14:paraId="712610EC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7CA4555D" w14:textId="67B43C80" w:rsidR="00B518DA" w:rsidRPr="00454FC7" w:rsidRDefault="00B518DA" w:rsidP="00C07C38">
            <w:pPr>
              <w:snapToGrid w:val="0"/>
              <w:contextualSpacing/>
              <w:rPr>
                <w:rStyle w:val="eop"/>
                <w:color w:val="000000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Colgate-Palmolive</w:t>
            </w:r>
          </w:p>
        </w:tc>
        <w:tc>
          <w:tcPr>
            <w:tcW w:w="1711" w:type="dxa"/>
            <w:shd w:val="clear" w:color="auto" w:fill="auto"/>
          </w:tcPr>
          <w:p w14:paraId="476BD795" w14:textId="7D649E18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normaltextrun"/>
                <w:color w:val="000000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Consumer</w:t>
            </w:r>
          </w:p>
        </w:tc>
        <w:tc>
          <w:tcPr>
            <w:tcW w:w="2422" w:type="dxa"/>
            <w:shd w:val="clear" w:color="auto" w:fill="auto"/>
          </w:tcPr>
          <w:p w14:paraId="0F3A4048" w14:textId="048D3F93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eop"/>
                <w:color w:val="000000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Jun Wang</w:t>
            </w:r>
          </w:p>
        </w:tc>
        <w:tc>
          <w:tcPr>
            <w:tcW w:w="3878" w:type="dxa"/>
            <w:shd w:val="clear" w:color="auto" w:fill="auto"/>
          </w:tcPr>
          <w:p w14:paraId="48C0B2C4" w14:textId="77399048" w:rsidR="00B518DA" w:rsidRPr="00454FC7" w:rsidRDefault="00B518DA" w:rsidP="00C07C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Dimensionally Stable Recyclable Plastic Package, U.S. Patent 10,889,093 B2</w:t>
            </w:r>
          </w:p>
        </w:tc>
      </w:tr>
      <w:tr w:rsidR="00B518DA" w:rsidRPr="00454FC7" w14:paraId="1722B497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00F0AD66" w14:textId="051ABA4F" w:rsidR="00B518DA" w:rsidRPr="00454FC7" w:rsidRDefault="00B518DA" w:rsidP="00C07C38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 xml:space="preserve">Ethicon, Inc. </w:t>
            </w:r>
            <w:r>
              <w:rPr>
                <w:rStyle w:val="eop"/>
                <w:sz w:val="20"/>
                <w:szCs w:val="20"/>
              </w:rPr>
              <w:t xml:space="preserve">- </w:t>
            </w:r>
            <w:r w:rsidRPr="00454FC7">
              <w:rPr>
                <w:rStyle w:val="eop"/>
                <w:sz w:val="20"/>
                <w:szCs w:val="20"/>
              </w:rPr>
              <w:t>a Johnson &amp; Johnson</w:t>
            </w:r>
            <w:r>
              <w:rPr>
                <w:rStyle w:val="eop"/>
                <w:sz w:val="20"/>
                <w:szCs w:val="20"/>
              </w:rPr>
              <w:t xml:space="preserve"> Company</w:t>
            </w:r>
          </w:p>
        </w:tc>
        <w:tc>
          <w:tcPr>
            <w:tcW w:w="1711" w:type="dxa"/>
            <w:shd w:val="clear" w:color="auto" w:fill="auto"/>
          </w:tcPr>
          <w:p w14:paraId="2C38D8E7" w14:textId="1BF2AE92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Medical Device</w:t>
            </w:r>
          </w:p>
        </w:tc>
        <w:tc>
          <w:tcPr>
            <w:tcW w:w="2422" w:type="dxa"/>
            <w:shd w:val="clear" w:color="auto" w:fill="auto"/>
          </w:tcPr>
          <w:p w14:paraId="1BE5EE43" w14:textId="410FFD2D" w:rsidR="00B518DA" w:rsidRPr="00454FC7" w:rsidRDefault="00B518DA" w:rsidP="00C07C38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Jason Perkins, Jesse Nawrocki, Jason Huff, and David Lindh</w:t>
            </w:r>
            <w:r>
              <w:rPr>
                <w:rStyle w:val="eop"/>
                <w:sz w:val="20"/>
                <w:szCs w:val="20"/>
              </w:rPr>
              <w:t>,</w:t>
            </w:r>
            <w:r w:rsidRPr="00454FC7">
              <w:rPr>
                <w:rStyle w:val="eop"/>
                <w:sz w:val="20"/>
                <w:szCs w:val="20"/>
              </w:rPr>
              <w:t xml:space="preserve"> Sr</w:t>
            </w:r>
            <w:r>
              <w:rPr>
                <w:rStyle w:val="eop"/>
                <w:sz w:val="20"/>
                <w:szCs w:val="20"/>
              </w:rPr>
              <w:t>.</w:t>
            </w:r>
          </w:p>
        </w:tc>
        <w:tc>
          <w:tcPr>
            <w:tcW w:w="3878" w:type="dxa"/>
            <w:shd w:val="clear" w:color="auto" w:fill="auto"/>
          </w:tcPr>
          <w:p w14:paraId="5EF2453C" w14:textId="1902E558" w:rsidR="00B518DA" w:rsidRPr="00454FC7" w:rsidRDefault="00B518DA" w:rsidP="00C07C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End Effector for Wound Closure Device, U.S. Patent 10,336,001</w:t>
            </w:r>
          </w:p>
        </w:tc>
      </w:tr>
      <w:tr w:rsidR="00B518DA" w:rsidRPr="00454FC7" w14:paraId="192674BC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4D316C98" w14:textId="6D0125E9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Kulite Semiconductor Products, Inc</w:t>
            </w:r>
          </w:p>
        </w:tc>
        <w:tc>
          <w:tcPr>
            <w:tcW w:w="1711" w:type="dxa"/>
            <w:shd w:val="clear" w:color="auto" w:fill="auto"/>
          </w:tcPr>
          <w:p w14:paraId="7C1FEDB0" w14:textId="1FC23A04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Aerospace</w:t>
            </w:r>
          </w:p>
        </w:tc>
        <w:tc>
          <w:tcPr>
            <w:tcW w:w="2422" w:type="dxa"/>
            <w:shd w:val="clear" w:color="auto" w:fill="auto"/>
          </w:tcPr>
          <w:p w14:paraId="6FEE7D68" w14:textId="037078B2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Martin A. Sanzari</w:t>
            </w:r>
          </w:p>
        </w:tc>
        <w:tc>
          <w:tcPr>
            <w:tcW w:w="3878" w:type="dxa"/>
            <w:shd w:val="clear" w:color="auto" w:fill="auto"/>
          </w:tcPr>
          <w:p w14:paraId="2B4E0461" w14:textId="1560C4ED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Thermally Stable High Temperature Pressure and Acceration Optical Interferometric Sensors, U.S. Patent 9,810,594 B2</w:t>
            </w:r>
          </w:p>
        </w:tc>
      </w:tr>
      <w:tr w:rsidR="00B518DA" w:rsidRPr="00454FC7" w14:paraId="18427149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7D746429" w14:textId="187C03B7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Merck</w:t>
            </w:r>
          </w:p>
        </w:tc>
        <w:tc>
          <w:tcPr>
            <w:tcW w:w="1711" w:type="dxa"/>
            <w:shd w:val="clear" w:color="auto" w:fill="auto"/>
          </w:tcPr>
          <w:p w14:paraId="7533696F" w14:textId="75B9FB38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Pharmaceutical</w:t>
            </w:r>
          </w:p>
        </w:tc>
        <w:tc>
          <w:tcPr>
            <w:tcW w:w="2422" w:type="dxa"/>
            <w:shd w:val="clear" w:color="auto" w:fill="auto"/>
          </w:tcPr>
          <w:p w14:paraId="5060C0EF" w14:textId="2078FA98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Carl A. Baxter, Edward Cleator, Faye Sheen, Shane W. Krska, Neil Strotman, Gavin Stewart, Debra J. Wallace, and Timothy Wright </w:t>
            </w:r>
          </w:p>
        </w:tc>
        <w:tc>
          <w:tcPr>
            <w:tcW w:w="3878" w:type="dxa"/>
            <w:shd w:val="clear" w:color="auto" w:fill="auto"/>
          </w:tcPr>
          <w:p w14:paraId="2AD6632C" w14:textId="108CDC26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Process for the Preparation of an Orexin Receptor Antagonist, U.S. Patent 9,108,959</w:t>
            </w:r>
          </w:p>
        </w:tc>
      </w:tr>
      <w:tr w:rsidR="00B518DA" w:rsidRPr="00454FC7" w14:paraId="2F9049C7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13EAB77B" w14:textId="4F9D683D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New Jersey Institute of Technology</w:t>
            </w:r>
          </w:p>
        </w:tc>
        <w:tc>
          <w:tcPr>
            <w:tcW w:w="1711" w:type="dxa"/>
            <w:shd w:val="clear" w:color="auto" w:fill="auto"/>
          </w:tcPr>
          <w:p w14:paraId="2E8DAE8B" w14:textId="05A4051B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Emerging Technology</w:t>
            </w:r>
          </w:p>
        </w:tc>
        <w:tc>
          <w:tcPr>
            <w:tcW w:w="2422" w:type="dxa"/>
            <w:shd w:val="clear" w:color="auto" w:fill="auto"/>
          </w:tcPr>
          <w:p w14:paraId="0C6DE191" w14:textId="2FDFF116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Wen Zhang and Wanyi Fu</w:t>
            </w:r>
          </w:p>
        </w:tc>
        <w:tc>
          <w:tcPr>
            <w:tcW w:w="3878" w:type="dxa"/>
            <w:shd w:val="clear" w:color="auto" w:fill="auto"/>
          </w:tcPr>
          <w:p w14:paraId="6E732DB2" w14:textId="0D585753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Microwave-Assisted Antifouling Membrane Filtration System, U.S. Patent 10,583,402</w:t>
            </w:r>
          </w:p>
        </w:tc>
      </w:tr>
      <w:tr w:rsidR="00B518DA" w:rsidRPr="00454FC7" w14:paraId="79AA73F5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29E8B196" w14:textId="4A1B77A4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Princeton Plasma Physics Laboratory</w:t>
            </w:r>
          </w:p>
        </w:tc>
        <w:tc>
          <w:tcPr>
            <w:tcW w:w="1711" w:type="dxa"/>
            <w:shd w:val="clear" w:color="auto" w:fill="auto"/>
          </w:tcPr>
          <w:p w14:paraId="5EF1854E" w14:textId="4884FD8E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Industrial Processes</w:t>
            </w:r>
          </w:p>
        </w:tc>
        <w:tc>
          <w:tcPr>
            <w:tcW w:w="2422" w:type="dxa"/>
            <w:shd w:val="clear" w:color="auto" w:fill="auto"/>
          </w:tcPr>
          <w:p w14:paraId="7293FBEA" w14:textId="6B23B7AE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Hantao Ji, Philip Efthimion, Erik Gilson, Eric Edlund, and Adam Cohen</w:t>
            </w:r>
          </w:p>
        </w:tc>
        <w:tc>
          <w:tcPr>
            <w:tcW w:w="3878" w:type="dxa"/>
            <w:shd w:val="clear" w:color="auto" w:fill="auto"/>
          </w:tcPr>
          <w:p w14:paraId="32344681" w14:textId="47B43361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Advanced Liquid Centrifuge Using Differentially Rotating Cylinders and Optimized Boundary Conditions, and Methods for the Separation of Fluids, U.S. Patent 10,300,410</w:t>
            </w:r>
          </w:p>
        </w:tc>
      </w:tr>
      <w:tr w:rsidR="00B518DA" w:rsidRPr="00454FC7" w14:paraId="6F1D2347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0477A594" w14:textId="69BD9D14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Rowan University</w:t>
            </w:r>
          </w:p>
        </w:tc>
        <w:tc>
          <w:tcPr>
            <w:tcW w:w="1711" w:type="dxa"/>
            <w:shd w:val="clear" w:color="auto" w:fill="auto"/>
          </w:tcPr>
          <w:p w14:paraId="7D17DC6E" w14:textId="749D6041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Biomaterials</w:t>
            </w:r>
          </w:p>
        </w:tc>
        <w:tc>
          <w:tcPr>
            <w:tcW w:w="2422" w:type="dxa"/>
            <w:shd w:val="clear" w:color="auto" w:fill="auto"/>
          </w:tcPr>
          <w:p w14:paraId="1770549C" w14:textId="329C84B6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Anthony Lowman, Erik Brewer, and Nigel Smith</w:t>
            </w:r>
          </w:p>
        </w:tc>
        <w:tc>
          <w:tcPr>
            <w:tcW w:w="3878" w:type="dxa"/>
            <w:shd w:val="clear" w:color="auto" w:fill="auto"/>
          </w:tcPr>
          <w:p w14:paraId="4B6AA6D5" w14:textId="3077B50D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Cross-Linked Hydrogels and Method of Making the Same, U.S. Patent 10,507,264</w:t>
            </w:r>
          </w:p>
        </w:tc>
      </w:tr>
      <w:tr w:rsidR="00B518DA" w:rsidRPr="00454FC7" w14:paraId="697F186A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1A5BAF73" w14:textId="1B997CCA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Rutgers, The State University of New Jersey</w:t>
            </w:r>
          </w:p>
        </w:tc>
        <w:tc>
          <w:tcPr>
            <w:tcW w:w="1711" w:type="dxa"/>
            <w:shd w:val="clear" w:color="auto" w:fill="auto"/>
          </w:tcPr>
          <w:p w14:paraId="4A66949D" w14:textId="5B99B2BB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Defense</w:t>
            </w:r>
          </w:p>
        </w:tc>
        <w:tc>
          <w:tcPr>
            <w:tcW w:w="2422" w:type="dxa"/>
            <w:shd w:val="clear" w:color="auto" w:fill="auto"/>
          </w:tcPr>
          <w:p w14:paraId="5C60209A" w14:textId="3C0084EE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Francisco Javier Diez</w:t>
            </w:r>
            <w:r>
              <w:rPr>
                <w:rStyle w:val="eop"/>
                <w:sz w:val="20"/>
                <w:szCs w:val="20"/>
              </w:rPr>
              <w:t>-Garias</w:t>
            </w:r>
            <w:r w:rsidRPr="00454FC7">
              <w:rPr>
                <w:rStyle w:val="eop"/>
                <w:sz w:val="20"/>
                <w:szCs w:val="20"/>
              </w:rPr>
              <w:t xml:space="preserve"> and Marco M. Maia</w:t>
            </w:r>
          </w:p>
        </w:tc>
        <w:tc>
          <w:tcPr>
            <w:tcW w:w="3878" w:type="dxa"/>
            <w:shd w:val="clear" w:color="auto" w:fill="auto"/>
          </w:tcPr>
          <w:p w14:paraId="6ECF9E6A" w14:textId="28B8F8D2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Unmanned Air and Underwater Vehicle, U.S. Patent 10,315,762</w:t>
            </w:r>
          </w:p>
        </w:tc>
      </w:tr>
      <w:tr w:rsidR="00B518DA" w:rsidRPr="00454FC7" w14:paraId="6127882D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768F4696" w14:textId="1A93F4BD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Rutgers, The State University of New Jersey</w:t>
            </w:r>
          </w:p>
        </w:tc>
        <w:tc>
          <w:tcPr>
            <w:tcW w:w="1711" w:type="dxa"/>
            <w:shd w:val="clear" w:color="auto" w:fill="auto"/>
          </w:tcPr>
          <w:p w14:paraId="7193F13C" w14:textId="35B00C70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Biotechnology</w:t>
            </w:r>
          </w:p>
        </w:tc>
        <w:tc>
          <w:tcPr>
            <w:tcW w:w="2422" w:type="dxa"/>
            <w:shd w:val="clear" w:color="auto" w:fill="auto"/>
          </w:tcPr>
          <w:p w14:paraId="539A77AB" w14:textId="6F4B4F9C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Shengkan Jin and Juan-Carlos Collantes</w:t>
            </w:r>
          </w:p>
        </w:tc>
        <w:tc>
          <w:tcPr>
            <w:tcW w:w="3878" w:type="dxa"/>
            <w:shd w:val="clear" w:color="auto" w:fill="auto"/>
          </w:tcPr>
          <w:p w14:paraId="67EDB21C" w14:textId="46B5312E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 xml:space="preserve">A Nuclease-Independent In Vivo Targeted Gene Editing Platform and Uses Thereof, </w:t>
            </w:r>
            <w:commentRangeStart w:id="0"/>
            <w:r w:rsidRPr="00454FC7">
              <w:rPr>
                <w:rStyle w:val="eop"/>
                <w:sz w:val="20"/>
                <w:szCs w:val="20"/>
              </w:rPr>
              <w:t>U.S. Patent 15/744,505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B518DA" w:rsidRPr="00454FC7" w14:paraId="76738CAC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14C72E2A" w14:textId="324BE757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Siemens Healthineers</w:t>
            </w:r>
          </w:p>
        </w:tc>
        <w:tc>
          <w:tcPr>
            <w:tcW w:w="1711" w:type="dxa"/>
            <w:shd w:val="clear" w:color="auto" w:fill="auto"/>
          </w:tcPr>
          <w:p w14:paraId="3842B33C" w14:textId="29F08D62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Medical Health</w:t>
            </w:r>
          </w:p>
        </w:tc>
        <w:tc>
          <w:tcPr>
            <w:tcW w:w="2422" w:type="dxa"/>
            <w:shd w:val="clear" w:color="auto" w:fill="auto"/>
          </w:tcPr>
          <w:p w14:paraId="71E2E48D" w14:textId="40AEDA47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Florin-Cristian Ghesu, Eli Gibson, Bogdan Georgescu, Grbic Sasa, and Dorin Comaniciu</w:t>
            </w:r>
          </w:p>
        </w:tc>
        <w:tc>
          <w:tcPr>
            <w:tcW w:w="3878" w:type="dxa"/>
            <w:shd w:val="clear" w:color="auto" w:fill="auto"/>
          </w:tcPr>
          <w:p w14:paraId="2866FAAC" w14:textId="769BDE54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Medical Image Assessment with Classification Uncertainty” (U.S. Patent 11,275,976</w:t>
            </w:r>
          </w:p>
        </w:tc>
      </w:tr>
      <w:tr w:rsidR="00B518DA" w:rsidRPr="00454FC7" w14:paraId="6150EDE7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4B9CD62E" w14:textId="152D2E86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Siemens Technology</w:t>
            </w:r>
          </w:p>
        </w:tc>
        <w:tc>
          <w:tcPr>
            <w:tcW w:w="1711" w:type="dxa"/>
            <w:shd w:val="clear" w:color="auto" w:fill="auto"/>
          </w:tcPr>
          <w:p w14:paraId="5AD181A5" w14:textId="23B29855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Energy</w:t>
            </w:r>
          </w:p>
        </w:tc>
        <w:tc>
          <w:tcPr>
            <w:tcW w:w="2422" w:type="dxa"/>
            <w:shd w:val="clear" w:color="auto" w:fill="auto"/>
          </w:tcPr>
          <w:p w14:paraId="3267761A" w14:textId="04695CBA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Chao Yuan, Amit Chakraborty, Holger Hackstein, and Leif Weibking</w:t>
            </w:r>
          </w:p>
        </w:tc>
        <w:tc>
          <w:tcPr>
            <w:tcW w:w="3878" w:type="dxa"/>
            <w:shd w:val="clear" w:color="auto" w:fill="auto"/>
          </w:tcPr>
          <w:p w14:paraId="462A9125" w14:textId="612AFDA4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Discriminative Hidden Kalman Filters for Classification of Streaming Sensor Data in Condition Monitoring” (U.S. Patent 10,565,080 B2</w:t>
            </w:r>
          </w:p>
        </w:tc>
      </w:tr>
      <w:tr w:rsidR="00B518DA" w:rsidRPr="00454FC7" w14:paraId="6EDE39AE" w14:textId="77777777" w:rsidTr="00B518DA">
        <w:trPr>
          <w:jc w:val="center"/>
        </w:trPr>
        <w:tc>
          <w:tcPr>
            <w:tcW w:w="3329" w:type="dxa"/>
            <w:shd w:val="clear" w:color="auto" w:fill="auto"/>
          </w:tcPr>
          <w:p w14:paraId="400DAEFA" w14:textId="50367B00" w:rsidR="00B518DA" w:rsidRPr="00454FC7" w:rsidRDefault="00B518DA" w:rsidP="00515F6D">
            <w:pPr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Stryker</w:t>
            </w:r>
          </w:p>
        </w:tc>
        <w:tc>
          <w:tcPr>
            <w:tcW w:w="1711" w:type="dxa"/>
            <w:shd w:val="clear" w:color="auto" w:fill="auto"/>
          </w:tcPr>
          <w:p w14:paraId="67FE8815" w14:textId="4FCE8FD6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Enabling Technology</w:t>
            </w:r>
          </w:p>
        </w:tc>
        <w:tc>
          <w:tcPr>
            <w:tcW w:w="2422" w:type="dxa"/>
            <w:shd w:val="clear" w:color="auto" w:fill="auto"/>
          </w:tcPr>
          <w:p w14:paraId="2AB7709C" w14:textId="014292D8" w:rsidR="00B518DA" w:rsidRPr="00454FC7" w:rsidRDefault="00B518DA" w:rsidP="00515F6D">
            <w:pPr>
              <w:shd w:val="clear" w:color="auto" w:fill="FFFFFF"/>
              <w:snapToGrid w:val="0"/>
              <w:contextualSpacing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>Joseph Robinson, Lewis Mullen, Robert Klein, Nicholas Dong, Matthew Poggie, Eric Jones, Christopher Sutcliffe, Dan Jones, and Robin Stamp</w:t>
            </w:r>
          </w:p>
        </w:tc>
        <w:tc>
          <w:tcPr>
            <w:tcW w:w="3878" w:type="dxa"/>
            <w:shd w:val="clear" w:color="auto" w:fill="auto"/>
          </w:tcPr>
          <w:p w14:paraId="5A67E87D" w14:textId="3D9D73A5" w:rsidR="00B518DA" w:rsidRPr="00454FC7" w:rsidRDefault="00B518DA" w:rsidP="00515F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454FC7">
              <w:rPr>
                <w:rStyle w:val="eop"/>
                <w:sz w:val="20"/>
                <w:szCs w:val="20"/>
              </w:rPr>
              <w:t xml:space="preserve">Surface </w:t>
            </w:r>
            <w:r>
              <w:rPr>
                <w:rStyle w:val="eop"/>
                <w:sz w:val="20"/>
                <w:szCs w:val="20"/>
              </w:rPr>
              <w:t>M</w:t>
            </w:r>
            <w:r w:rsidRPr="00454FC7">
              <w:rPr>
                <w:rStyle w:val="eop"/>
                <w:sz w:val="20"/>
                <w:szCs w:val="20"/>
              </w:rPr>
              <w:t xml:space="preserve">odified </w:t>
            </w:r>
            <w:r>
              <w:rPr>
                <w:rStyle w:val="eop"/>
                <w:sz w:val="20"/>
                <w:szCs w:val="20"/>
              </w:rPr>
              <w:t>U</w:t>
            </w:r>
            <w:r w:rsidRPr="00454FC7">
              <w:rPr>
                <w:rStyle w:val="eop"/>
                <w:sz w:val="20"/>
                <w:szCs w:val="20"/>
              </w:rPr>
              <w:t xml:space="preserve">nit </w:t>
            </w:r>
            <w:r>
              <w:rPr>
                <w:rStyle w:val="eop"/>
                <w:sz w:val="20"/>
                <w:szCs w:val="20"/>
              </w:rPr>
              <w:t>C</w:t>
            </w:r>
            <w:r w:rsidRPr="00454FC7">
              <w:rPr>
                <w:rStyle w:val="eop"/>
                <w:sz w:val="20"/>
                <w:szCs w:val="20"/>
              </w:rPr>
              <w:t xml:space="preserve">ell </w:t>
            </w:r>
            <w:r>
              <w:rPr>
                <w:rStyle w:val="eop"/>
                <w:sz w:val="20"/>
                <w:szCs w:val="20"/>
              </w:rPr>
              <w:t>L</w:t>
            </w:r>
            <w:r w:rsidRPr="00454FC7">
              <w:rPr>
                <w:rStyle w:val="eop"/>
                <w:sz w:val="20"/>
                <w:szCs w:val="20"/>
              </w:rPr>
              <w:t xml:space="preserve">attice </w:t>
            </w:r>
            <w:r>
              <w:rPr>
                <w:rStyle w:val="eop"/>
                <w:sz w:val="20"/>
                <w:szCs w:val="20"/>
              </w:rPr>
              <w:t>S</w:t>
            </w:r>
            <w:r w:rsidRPr="00454FC7">
              <w:rPr>
                <w:rStyle w:val="eop"/>
                <w:sz w:val="20"/>
                <w:szCs w:val="20"/>
              </w:rPr>
              <w:t xml:space="preserve">tructures for </w:t>
            </w:r>
            <w:r>
              <w:rPr>
                <w:rStyle w:val="eop"/>
                <w:sz w:val="20"/>
                <w:szCs w:val="20"/>
              </w:rPr>
              <w:t>O</w:t>
            </w:r>
            <w:r w:rsidRPr="00454FC7">
              <w:rPr>
                <w:rStyle w:val="eop"/>
                <w:sz w:val="20"/>
                <w:szCs w:val="20"/>
              </w:rPr>
              <w:t xml:space="preserve">ptimized, </w:t>
            </w:r>
            <w:r>
              <w:rPr>
                <w:rStyle w:val="eop"/>
                <w:sz w:val="20"/>
                <w:szCs w:val="20"/>
              </w:rPr>
              <w:t>S</w:t>
            </w:r>
            <w:r w:rsidRPr="00454FC7">
              <w:rPr>
                <w:rStyle w:val="eop"/>
                <w:sz w:val="20"/>
                <w:szCs w:val="20"/>
              </w:rPr>
              <w:t xml:space="preserve">ecure, </w:t>
            </w:r>
            <w:r>
              <w:rPr>
                <w:rStyle w:val="eop"/>
                <w:sz w:val="20"/>
                <w:szCs w:val="20"/>
              </w:rPr>
              <w:t>F</w:t>
            </w:r>
            <w:r w:rsidRPr="00454FC7">
              <w:rPr>
                <w:rStyle w:val="eop"/>
                <w:sz w:val="20"/>
                <w:szCs w:val="20"/>
              </w:rPr>
              <w:t xml:space="preserve">reeform </w:t>
            </w:r>
            <w:r>
              <w:rPr>
                <w:rStyle w:val="eop"/>
                <w:sz w:val="20"/>
                <w:szCs w:val="20"/>
              </w:rPr>
              <w:t>F</w:t>
            </w:r>
            <w:r w:rsidRPr="00454FC7">
              <w:rPr>
                <w:rStyle w:val="eop"/>
                <w:sz w:val="20"/>
                <w:szCs w:val="20"/>
              </w:rPr>
              <w:t>abrication (U.S. Patent 9180010 B2</w:t>
            </w:r>
          </w:p>
        </w:tc>
      </w:tr>
    </w:tbl>
    <w:p w14:paraId="39C9FCEE" w14:textId="77777777" w:rsidR="00F56FE1" w:rsidRPr="001A0C51" w:rsidRDefault="00F56FE1" w:rsidP="00F04A5C"/>
    <w:sectPr w:rsidR="00F56FE1" w:rsidRPr="001A0C51" w:rsidSect="00982D00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ise Roderer" w:date="2022-07-11T15:23:00Z" w:initials="AR">
    <w:p w14:paraId="302C7CA4" w14:textId="77777777" w:rsidR="00B518DA" w:rsidRDefault="00B518DA" w:rsidP="00510C6D">
      <w:r>
        <w:rPr>
          <w:rStyle w:val="CommentReference"/>
        </w:rPr>
        <w:annotationRef/>
      </w:r>
      <w:r>
        <w:rPr>
          <w:sz w:val="20"/>
          <w:szCs w:val="20"/>
        </w:rPr>
        <w:t>Listed at Application # on nomination form. Should this be adjusted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2C7CA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BF99" w16cex:dateUtc="2022-07-11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C7CA4" w16cid:durableId="2676BF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5F1E" w14:textId="77777777" w:rsidR="007362AE" w:rsidRDefault="007362AE" w:rsidP="00F25744">
      <w:r>
        <w:separator/>
      </w:r>
    </w:p>
  </w:endnote>
  <w:endnote w:type="continuationSeparator" w:id="0">
    <w:p w14:paraId="2754232F" w14:textId="77777777" w:rsidR="007362AE" w:rsidRDefault="007362AE" w:rsidP="00F2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4CA4" w14:textId="77777777" w:rsidR="007362AE" w:rsidRDefault="007362AE" w:rsidP="00F25744">
      <w:r>
        <w:separator/>
      </w:r>
    </w:p>
  </w:footnote>
  <w:footnote w:type="continuationSeparator" w:id="0">
    <w:p w14:paraId="073FB902" w14:textId="77777777" w:rsidR="007362AE" w:rsidRDefault="007362AE" w:rsidP="00F2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862A" w14:textId="62412BCE" w:rsidR="00F25744" w:rsidRDefault="00F25744" w:rsidP="00F257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BC5E" w14:textId="0D6EA572" w:rsidR="00982D00" w:rsidRDefault="00982D00" w:rsidP="00982D00">
    <w:pPr>
      <w:pStyle w:val="Header"/>
      <w:jc w:val="center"/>
    </w:pPr>
    <w:r>
      <w:rPr>
        <w:noProof/>
      </w:rPr>
      <w:drawing>
        <wp:inline distT="0" distB="0" distL="0" distR="0" wp14:anchorId="68CDC3A1" wp14:editId="38D6E0B0">
          <wp:extent cx="2914015" cy="955040"/>
          <wp:effectExtent l="0" t="0" r="0" b="0"/>
          <wp:docPr id="1" name="Picture 1" descr="RDNJ_Logo_99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NJ_Logo_99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e Roderer">
    <w15:presenceInfo w15:providerId="AD" w15:userId="S::aroderer@cn-com.com::1f8a2a30-22e7-41d9-98f4-5adec04f83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E1"/>
    <w:rsid w:val="000243AB"/>
    <w:rsid w:val="00094CBA"/>
    <w:rsid w:val="000A26F2"/>
    <w:rsid w:val="000F1ED9"/>
    <w:rsid w:val="00151D51"/>
    <w:rsid w:val="001A0C51"/>
    <w:rsid w:val="001B6958"/>
    <w:rsid w:val="001E2438"/>
    <w:rsid w:val="00206170"/>
    <w:rsid w:val="002E5867"/>
    <w:rsid w:val="003262CA"/>
    <w:rsid w:val="003338A9"/>
    <w:rsid w:val="00393A74"/>
    <w:rsid w:val="003E73CD"/>
    <w:rsid w:val="00454FC7"/>
    <w:rsid w:val="0046050C"/>
    <w:rsid w:val="004E3402"/>
    <w:rsid w:val="004F0808"/>
    <w:rsid w:val="00515F6D"/>
    <w:rsid w:val="005304FA"/>
    <w:rsid w:val="00707A41"/>
    <w:rsid w:val="007362AE"/>
    <w:rsid w:val="007600C2"/>
    <w:rsid w:val="007658FB"/>
    <w:rsid w:val="00777FC8"/>
    <w:rsid w:val="00810074"/>
    <w:rsid w:val="00877ACE"/>
    <w:rsid w:val="00887443"/>
    <w:rsid w:val="008B6EB2"/>
    <w:rsid w:val="008F37E2"/>
    <w:rsid w:val="009726C8"/>
    <w:rsid w:val="00982D00"/>
    <w:rsid w:val="009973CE"/>
    <w:rsid w:val="009A0AB2"/>
    <w:rsid w:val="009B04FE"/>
    <w:rsid w:val="00A60859"/>
    <w:rsid w:val="00A6145C"/>
    <w:rsid w:val="00A8719B"/>
    <w:rsid w:val="00B518DA"/>
    <w:rsid w:val="00B8437E"/>
    <w:rsid w:val="00C07C38"/>
    <w:rsid w:val="00C134D8"/>
    <w:rsid w:val="00C412D5"/>
    <w:rsid w:val="00C70B86"/>
    <w:rsid w:val="00D1385B"/>
    <w:rsid w:val="00D80F0F"/>
    <w:rsid w:val="00DD6870"/>
    <w:rsid w:val="00E20B10"/>
    <w:rsid w:val="00E617D7"/>
    <w:rsid w:val="00F04A5C"/>
    <w:rsid w:val="00F1337E"/>
    <w:rsid w:val="00F25744"/>
    <w:rsid w:val="00F520AE"/>
    <w:rsid w:val="00F56FE1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41CC2"/>
  <w15:chartTrackingRefBased/>
  <w15:docId w15:val="{A02253BC-A2D2-8648-8F38-ED790910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6FE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56FE1"/>
  </w:style>
  <w:style w:type="character" w:customStyle="1" w:styleId="eop">
    <w:name w:val="eop"/>
    <w:basedOn w:val="DefaultParagraphFont"/>
    <w:rsid w:val="00F56FE1"/>
  </w:style>
  <w:style w:type="character" w:customStyle="1" w:styleId="contextualspellingandgrammarerror">
    <w:name w:val="contextualspellingandgrammarerror"/>
    <w:basedOn w:val="DefaultParagraphFont"/>
    <w:rsid w:val="00C134D8"/>
  </w:style>
  <w:style w:type="paragraph" w:styleId="Header">
    <w:name w:val="header"/>
    <w:basedOn w:val="Normal"/>
    <w:link w:val="HeaderChar"/>
    <w:uiPriority w:val="99"/>
    <w:unhideWhenUsed/>
    <w:rsid w:val="00F257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5744"/>
  </w:style>
  <w:style w:type="paragraph" w:styleId="Footer">
    <w:name w:val="footer"/>
    <w:basedOn w:val="Normal"/>
    <w:link w:val="FooterChar"/>
    <w:uiPriority w:val="99"/>
    <w:unhideWhenUsed/>
    <w:rsid w:val="00F257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5744"/>
  </w:style>
  <w:style w:type="character" w:styleId="Hyperlink">
    <w:name w:val="Hyperlink"/>
    <w:rsid w:val="00F25744"/>
    <w:rPr>
      <w:color w:val="0000FF"/>
      <w:u w:val="single"/>
    </w:rPr>
  </w:style>
  <w:style w:type="character" w:customStyle="1" w:styleId="spellingerror">
    <w:name w:val="spellingerror"/>
    <w:basedOn w:val="DefaultParagraphFont"/>
    <w:rsid w:val="008B6EB2"/>
  </w:style>
  <w:style w:type="character" w:styleId="Emphasis">
    <w:name w:val="Emphasis"/>
    <w:basedOn w:val="DefaultParagraphFont"/>
    <w:uiPriority w:val="20"/>
    <w:qFormat/>
    <w:rsid w:val="008B6E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82D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6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6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se@rdnj.org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one.bidpal.net/edison2022/welcome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kcase@rdnj.org" TargetMode="External"/><Relationship Id="rId11" Type="http://schemas.openxmlformats.org/officeDocument/2006/relationships/comments" Target="comments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rdnj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dnj.org" TargetMode="Externa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Roderer</dc:creator>
  <cp:keywords/>
  <dc:description/>
  <cp:lastModifiedBy>Shirley Mautone</cp:lastModifiedBy>
  <cp:revision>2</cp:revision>
  <cp:lastPrinted>2022-10-12T16:09:00Z</cp:lastPrinted>
  <dcterms:created xsi:type="dcterms:W3CDTF">2022-10-18T16:21:00Z</dcterms:created>
  <dcterms:modified xsi:type="dcterms:W3CDTF">2022-10-18T16:21:00Z</dcterms:modified>
</cp:coreProperties>
</file>